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A458FE" w14:textId="77777777" w:rsidR="00A92B53" w:rsidRDefault="00000000">
      <w:pPr>
        <w:pBdr>
          <w:top w:val="nil"/>
          <w:left w:val="nil"/>
          <w:bottom w:val="nil"/>
          <w:right w:val="nil"/>
          <w:between w:val="nil"/>
        </w:pBdr>
        <w:spacing w:before="33"/>
        <w:rPr>
          <w:rFonts w:ascii="Times New Roman" w:eastAsia="Times New Roman" w:hAnsi="Times New Roman" w:cs="Times New Roman"/>
          <w:color w:val="000000"/>
          <w:sz w:val="18"/>
          <w:szCs w:val="18"/>
        </w:rPr>
      </w:pPr>
      <w:r>
        <w:rPr>
          <w:noProof/>
        </w:rPr>
        <w:drawing>
          <wp:anchor distT="0" distB="0" distL="114300" distR="114300" simplePos="0" relativeHeight="251658240" behindDoc="0" locked="0" layoutInCell="1" hidden="0" allowOverlap="1" wp14:anchorId="3BBD4486" wp14:editId="66FAAC42">
            <wp:simplePos x="0" y="0"/>
            <wp:positionH relativeFrom="column">
              <wp:posOffset>5603875</wp:posOffset>
            </wp:positionH>
            <wp:positionV relativeFrom="paragraph">
              <wp:posOffset>-31749</wp:posOffset>
            </wp:positionV>
            <wp:extent cx="786765" cy="786765"/>
            <wp:effectExtent l="0" t="0" r="0" b="0"/>
            <wp:wrapSquare wrapText="bothSides" distT="0" distB="0" distL="114300" distR="11430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786765" cy="786765"/>
                    </a:xfrm>
                    <a:prstGeom prst="rect">
                      <a:avLst/>
                    </a:prstGeom>
                    <a:ln/>
                  </pic:spPr>
                </pic:pic>
              </a:graphicData>
            </a:graphic>
          </wp:anchor>
        </w:drawing>
      </w:r>
    </w:p>
    <w:p w14:paraId="78F6E435" w14:textId="07FA9342" w:rsidR="00A92B53" w:rsidRDefault="00000000">
      <w:pPr>
        <w:ind w:left="448"/>
        <w:rPr>
          <w:b/>
          <w:bCs/>
          <w:sz w:val="18"/>
          <w:szCs w:val="18"/>
        </w:rPr>
      </w:pPr>
      <w:r>
        <w:rPr>
          <w:b/>
          <w:bCs/>
          <w:sz w:val="18"/>
          <w:szCs w:val="18"/>
        </w:rPr>
        <w:t>Journal of Intelligent Machine Learning and IoT Enabled Applications</w:t>
      </w:r>
      <w:r>
        <w:rPr>
          <w:b/>
          <w:bCs/>
          <w:color w:val="111111"/>
          <w:sz w:val="18"/>
          <w:szCs w:val="18"/>
        </w:rPr>
        <w:t>, 2025, Vol</w:t>
      </w:r>
      <w:r w:rsidR="00DA07B4">
        <w:rPr>
          <w:b/>
          <w:bCs/>
          <w:color w:val="111111"/>
          <w:sz w:val="18"/>
          <w:szCs w:val="18"/>
        </w:rPr>
        <w:t>.x</w:t>
      </w:r>
      <w:r>
        <w:rPr>
          <w:b/>
          <w:bCs/>
          <w:color w:val="111111"/>
          <w:sz w:val="18"/>
          <w:szCs w:val="18"/>
        </w:rPr>
        <w:t xml:space="preserve">(Issue </w:t>
      </w:r>
      <w:r w:rsidR="00DA07B4">
        <w:rPr>
          <w:b/>
          <w:bCs/>
          <w:color w:val="111111"/>
          <w:sz w:val="18"/>
          <w:szCs w:val="18"/>
        </w:rPr>
        <w:t>x</w:t>
      </w:r>
      <w:r>
        <w:rPr>
          <w:b/>
          <w:bCs/>
          <w:color w:val="111111"/>
          <w:sz w:val="18"/>
          <w:szCs w:val="18"/>
        </w:rPr>
        <w:t xml:space="preserve">): </w:t>
      </w:r>
      <w:r w:rsidR="00DA07B4">
        <w:rPr>
          <w:b/>
          <w:bCs/>
          <w:color w:val="111111"/>
          <w:sz w:val="18"/>
          <w:szCs w:val="18"/>
        </w:rPr>
        <w:t>xx</w:t>
      </w:r>
      <w:r>
        <w:rPr>
          <w:b/>
          <w:bCs/>
          <w:color w:val="111111"/>
          <w:sz w:val="18"/>
          <w:szCs w:val="18"/>
        </w:rPr>
        <w:t>-</w:t>
      </w:r>
      <w:r w:rsidR="00DA07B4">
        <w:rPr>
          <w:b/>
          <w:bCs/>
          <w:color w:val="111111"/>
          <w:sz w:val="18"/>
          <w:szCs w:val="18"/>
        </w:rPr>
        <w:t>xx</w:t>
      </w:r>
    </w:p>
    <w:p w14:paraId="329DC096" w14:textId="77777777" w:rsidR="00A92B53" w:rsidRDefault="00A92B53">
      <w:pPr>
        <w:pBdr>
          <w:top w:val="nil"/>
          <w:left w:val="nil"/>
          <w:bottom w:val="nil"/>
          <w:right w:val="nil"/>
          <w:between w:val="nil"/>
        </w:pBdr>
        <w:spacing w:before="249"/>
        <w:rPr>
          <w:color w:val="000000"/>
        </w:rPr>
      </w:pPr>
    </w:p>
    <w:p w14:paraId="68F213BB" w14:textId="77777777" w:rsidR="00A92B53" w:rsidRDefault="00000000">
      <w:pPr>
        <w:tabs>
          <w:tab w:val="left" w:pos="5489"/>
        </w:tabs>
        <w:spacing w:before="1"/>
        <w:ind w:left="448"/>
        <w:rPr>
          <w:b/>
          <w:bCs/>
        </w:rPr>
      </w:pPr>
      <w:r>
        <w:rPr>
          <w:b/>
          <w:bCs/>
          <w:sz w:val="24"/>
          <w:szCs w:val="24"/>
        </w:rPr>
        <w:t xml:space="preserve">ORIGINAL ARTICLE </w:t>
      </w:r>
    </w:p>
    <w:p w14:paraId="29EBD396" w14:textId="77777777" w:rsidR="00A92B53" w:rsidRDefault="00000000">
      <w:pPr>
        <w:spacing w:before="31"/>
        <w:ind w:left="448"/>
        <w:rPr>
          <w:b/>
          <w:bCs/>
          <w:sz w:val="20"/>
          <w:szCs w:val="20"/>
        </w:rPr>
      </w:pPr>
      <w:r>
        <w:rPr>
          <w:b/>
          <w:bCs/>
          <w:color w:val="000009"/>
          <w:sz w:val="20"/>
          <w:szCs w:val="20"/>
        </w:rPr>
        <w:t>_____________________________________________________________________________________________________________________________</w:t>
      </w:r>
    </w:p>
    <w:p w14:paraId="5720F57C" w14:textId="77777777" w:rsidR="00A92B53" w:rsidRDefault="00A92B53">
      <w:pPr>
        <w:pBdr>
          <w:top w:val="nil"/>
          <w:left w:val="nil"/>
          <w:bottom w:val="nil"/>
          <w:right w:val="nil"/>
          <w:between w:val="nil"/>
        </w:pBdr>
        <w:spacing w:before="44"/>
        <w:rPr>
          <w:b/>
          <w:bCs/>
          <w:color w:val="000000"/>
        </w:rPr>
      </w:pPr>
    </w:p>
    <w:p w14:paraId="267687A4" w14:textId="77777777" w:rsidR="00A92B53" w:rsidRDefault="00000000">
      <w:pPr>
        <w:spacing w:before="31"/>
        <w:ind w:left="448"/>
        <w:rPr>
          <w:b/>
          <w:bCs/>
          <w:sz w:val="36"/>
          <w:szCs w:val="36"/>
        </w:rPr>
      </w:pPr>
      <w:r>
        <w:rPr>
          <w:b/>
          <w:bCs/>
          <w:sz w:val="36"/>
          <w:szCs w:val="36"/>
        </w:rPr>
        <w:t>Feature Extraction of Underwater Acoustic Signal Target Using Machine Learning Technique</w:t>
      </w:r>
    </w:p>
    <w:p w14:paraId="2C3E6024" w14:textId="77777777" w:rsidR="00A92B53" w:rsidRDefault="00A92B53">
      <w:pPr>
        <w:spacing w:before="31"/>
        <w:ind w:left="448"/>
        <w:rPr>
          <w:sz w:val="16"/>
          <w:szCs w:val="16"/>
        </w:rPr>
      </w:pPr>
    </w:p>
    <w:p w14:paraId="6FFB1C71" w14:textId="77777777" w:rsidR="00A92B53" w:rsidRDefault="00000000">
      <w:pPr>
        <w:spacing w:before="31"/>
        <w:ind w:left="448"/>
        <w:rPr>
          <w:sz w:val="24"/>
          <w:szCs w:val="24"/>
        </w:rPr>
      </w:pPr>
      <w:r>
        <w:rPr>
          <w:sz w:val="24"/>
          <w:szCs w:val="24"/>
          <w:vertAlign w:val="superscript"/>
        </w:rPr>
        <w:t>1*</w:t>
      </w:r>
      <w:r>
        <w:rPr>
          <w:sz w:val="24"/>
          <w:szCs w:val="24"/>
        </w:rPr>
        <w:t xml:space="preserve">P. Ashok Kumar, </w:t>
      </w:r>
      <w:r>
        <w:rPr>
          <w:sz w:val="24"/>
          <w:szCs w:val="24"/>
          <w:vertAlign w:val="superscript"/>
        </w:rPr>
        <w:t>2</w:t>
      </w:r>
      <w:r>
        <w:rPr>
          <w:sz w:val="24"/>
          <w:szCs w:val="24"/>
        </w:rPr>
        <w:t>B. Lalitha Devi</w:t>
      </w:r>
    </w:p>
    <w:p w14:paraId="0F7F1350" w14:textId="77777777" w:rsidR="00A92B53" w:rsidRDefault="00A92B53">
      <w:pPr>
        <w:spacing w:before="31"/>
        <w:ind w:left="448"/>
        <w:rPr>
          <w:sz w:val="16"/>
          <w:szCs w:val="16"/>
        </w:rPr>
      </w:pPr>
    </w:p>
    <w:p w14:paraId="1914AC12" w14:textId="77777777" w:rsidR="00A92B53" w:rsidRDefault="00000000">
      <w:pPr>
        <w:spacing w:before="31"/>
        <w:ind w:left="448"/>
        <w:rPr>
          <w:sz w:val="16"/>
          <w:szCs w:val="16"/>
        </w:rPr>
      </w:pPr>
      <w:r>
        <w:rPr>
          <w:sz w:val="16"/>
          <w:szCs w:val="16"/>
        </w:rPr>
        <w:t>1 Department of Computer Science and Engineering, Sri Samit Institute of Technology, Affiliation to Anna University,</w:t>
      </w:r>
    </w:p>
    <w:p w14:paraId="4919F75E" w14:textId="77777777" w:rsidR="00A92B53" w:rsidRDefault="00000000">
      <w:pPr>
        <w:spacing w:before="31"/>
        <w:ind w:left="448"/>
        <w:rPr>
          <w:sz w:val="16"/>
          <w:szCs w:val="16"/>
        </w:rPr>
      </w:pPr>
      <w:r>
        <w:rPr>
          <w:sz w:val="16"/>
          <w:szCs w:val="16"/>
        </w:rPr>
        <w:t xml:space="preserve">   Chennai 600044, India</w:t>
      </w:r>
    </w:p>
    <w:p w14:paraId="0433C045" w14:textId="77777777" w:rsidR="00A92B53" w:rsidRDefault="00000000">
      <w:pPr>
        <w:spacing w:before="31"/>
        <w:ind w:left="448"/>
        <w:rPr>
          <w:sz w:val="16"/>
          <w:szCs w:val="16"/>
        </w:rPr>
      </w:pPr>
      <w:r>
        <w:rPr>
          <w:sz w:val="16"/>
          <w:szCs w:val="16"/>
        </w:rPr>
        <w:t>2 Department of Computer Science and Engineering, Sri Simitian Engineering College, Chennai 600044, India</w:t>
      </w:r>
    </w:p>
    <w:p w14:paraId="5063D8DA" w14:textId="77777777" w:rsidR="00A92B53" w:rsidRDefault="00A92B53">
      <w:pPr>
        <w:spacing w:before="31"/>
        <w:ind w:left="448"/>
        <w:rPr>
          <w:sz w:val="16"/>
          <w:szCs w:val="16"/>
        </w:rPr>
      </w:pPr>
    </w:p>
    <w:p w14:paraId="21830F78" w14:textId="77777777" w:rsidR="00A92B53" w:rsidRDefault="00000000">
      <w:pPr>
        <w:spacing w:before="31"/>
        <w:ind w:left="448"/>
        <w:rPr>
          <w:sz w:val="16"/>
          <w:szCs w:val="16"/>
        </w:rPr>
      </w:pPr>
      <w:r>
        <w:rPr>
          <w:sz w:val="16"/>
          <w:szCs w:val="16"/>
        </w:rPr>
        <w:t xml:space="preserve">Corresponding Author Email: </w:t>
      </w:r>
      <w:hyperlink r:id="rId8">
        <w:r w:rsidR="00A92B53">
          <w:rPr>
            <w:color w:val="0000FF"/>
            <w:sz w:val="16"/>
            <w:szCs w:val="16"/>
            <w:u w:val="single"/>
          </w:rPr>
          <w:t>ashojothi.cse@saamit.edu.in</w:t>
        </w:r>
      </w:hyperlink>
    </w:p>
    <w:p w14:paraId="3BF53421" w14:textId="77777777" w:rsidR="00A92B53" w:rsidRDefault="00A92B53">
      <w:pPr>
        <w:ind w:left="448"/>
        <w:jc w:val="center"/>
        <w:rPr>
          <w:b/>
          <w:bCs/>
          <w:color w:val="000009"/>
          <w:sz w:val="20"/>
          <w:szCs w:val="20"/>
        </w:rPr>
      </w:pPr>
    </w:p>
    <w:p w14:paraId="48DD9F0B" w14:textId="77777777" w:rsidR="00A92B53" w:rsidRDefault="00000000">
      <w:pPr>
        <w:ind w:left="448"/>
        <w:jc w:val="center"/>
        <w:rPr>
          <w:i/>
          <w:iCs/>
          <w:sz w:val="18"/>
          <w:szCs w:val="18"/>
        </w:rPr>
      </w:pPr>
      <w:r>
        <w:rPr>
          <w:i/>
          <w:iCs/>
          <w:color w:val="000009"/>
          <w:sz w:val="18"/>
          <w:szCs w:val="18"/>
        </w:rPr>
        <w:t>(Received 10 April 2020; revised 20 April 2020; accepted 25 April 2020)</w:t>
      </w:r>
    </w:p>
    <w:p w14:paraId="792B46A7" w14:textId="77777777" w:rsidR="00A92B53" w:rsidRDefault="00000000">
      <w:pPr>
        <w:spacing w:before="31"/>
        <w:rPr>
          <w:b/>
          <w:bCs/>
          <w:sz w:val="20"/>
          <w:szCs w:val="20"/>
        </w:rPr>
      </w:pPr>
      <w:r>
        <w:rPr>
          <w:b/>
          <w:bCs/>
          <w:color w:val="000009"/>
          <w:sz w:val="20"/>
          <w:szCs w:val="20"/>
        </w:rPr>
        <w:t xml:space="preserve">          ______________________________________________________________________________________________________________________________</w:t>
      </w:r>
    </w:p>
    <w:p w14:paraId="0C4276D2" w14:textId="77777777" w:rsidR="00A92B53" w:rsidRDefault="00000000">
      <w:pPr>
        <w:spacing w:before="34"/>
        <w:ind w:left="448"/>
        <w:rPr>
          <w:b/>
          <w:bCs/>
          <w:sz w:val="24"/>
          <w:szCs w:val="24"/>
        </w:rPr>
      </w:pPr>
      <w:r>
        <w:rPr>
          <w:b/>
          <w:bCs/>
          <w:color w:val="000009"/>
          <w:sz w:val="24"/>
          <w:szCs w:val="24"/>
        </w:rPr>
        <w:t>Abstract</w:t>
      </w:r>
    </w:p>
    <w:p w14:paraId="6CD51D65" w14:textId="77777777" w:rsidR="00A92B53" w:rsidRDefault="00000000">
      <w:pPr>
        <w:pBdr>
          <w:top w:val="nil"/>
          <w:left w:val="nil"/>
          <w:bottom w:val="nil"/>
          <w:right w:val="nil"/>
          <w:between w:val="nil"/>
        </w:pBdr>
        <w:spacing w:before="2"/>
        <w:ind w:left="450" w:right="1043"/>
        <w:jc w:val="both"/>
        <w:rPr>
          <w:color w:val="000000"/>
          <w:sz w:val="18"/>
          <w:szCs w:val="18"/>
        </w:rPr>
      </w:pPr>
      <w:r>
        <w:rPr>
          <w:color w:val="000009"/>
          <w:sz w:val="18"/>
          <w:szCs w:val="18"/>
        </w:rPr>
        <w:t>Finding underwater sound sources is quite difficult because of how complex and interconnected the undersea world is. When trying to use ship-radiated noise for Underwater Acoustic Target Recognition (UATR), the complicated presence of aquatic creatures makes the process even more tough. An innovative DNN called the Audio Perspective Region-based Convolutional Neural Network (APRCNN) is presented in this study. In order to train APRCNN, we used Depth Wise Separable (DWS) Convolutional Deep Neural Network architecture using initial underwater acoustic wave data. After that, APRCNN is used to categories and forecast underwater sound waves. Novel aspects of the suggested APRCNN model include optimization, adaptive learning, processing in parallel with residual connections, and underwater environment adaptation. With the help of integration layers that were influenced by the perceptual processing of the SPDNN system. Machine translation approaches also improve the model's performance through the use of time-dilated convolution. In this research, we offer a technique for underwater target detection with a full-featured DNN architecture.</w:t>
      </w:r>
    </w:p>
    <w:p w14:paraId="6160ABD0" w14:textId="77777777" w:rsidR="00A92B53" w:rsidRDefault="00A92B53">
      <w:pPr>
        <w:ind w:left="448"/>
        <w:rPr>
          <w:b/>
          <w:bCs/>
          <w:color w:val="000009"/>
          <w:sz w:val="20"/>
          <w:szCs w:val="20"/>
        </w:rPr>
      </w:pPr>
    </w:p>
    <w:p w14:paraId="46D593FE" w14:textId="77777777" w:rsidR="0020763A" w:rsidRDefault="0020763A">
      <w:pPr>
        <w:ind w:left="448"/>
        <w:rPr>
          <w:b/>
          <w:bCs/>
          <w:color w:val="000009"/>
          <w:sz w:val="20"/>
          <w:szCs w:val="20"/>
        </w:rPr>
        <w:sectPr w:rsidR="0020763A" w:rsidSect="00C31458">
          <w:footerReference w:type="default" r:id="rId9"/>
          <w:pgSz w:w="11910" w:h="16840"/>
          <w:pgMar w:top="810" w:right="425" w:bottom="280" w:left="992" w:header="720" w:footer="720" w:gutter="0"/>
          <w:pgNumType w:start="1"/>
          <w:cols w:space="720"/>
        </w:sectPr>
      </w:pPr>
    </w:p>
    <w:p w14:paraId="0A9B4B1F" w14:textId="77777777" w:rsidR="00A92B53" w:rsidRDefault="00000000">
      <w:pPr>
        <w:ind w:left="448"/>
        <w:rPr>
          <w:i/>
          <w:iCs/>
          <w:sz w:val="18"/>
          <w:szCs w:val="18"/>
        </w:rPr>
      </w:pPr>
      <w:r>
        <w:rPr>
          <w:b/>
          <w:bCs/>
          <w:color w:val="000009"/>
          <w:sz w:val="20"/>
          <w:szCs w:val="20"/>
        </w:rPr>
        <w:t xml:space="preserve">Keywords: </w:t>
      </w:r>
      <w:r>
        <w:rPr>
          <w:i/>
          <w:iCs/>
          <w:color w:val="000009"/>
          <w:sz w:val="18"/>
          <w:szCs w:val="18"/>
        </w:rPr>
        <w:t>features extractor, image processing, underwater acoustic, region-based convolutional neural network, ship-radiated noise, target recognition</w:t>
      </w:r>
    </w:p>
    <w:p w14:paraId="029DA18F" w14:textId="77777777" w:rsidR="00A92B53" w:rsidRDefault="00000000">
      <w:pPr>
        <w:pBdr>
          <w:top w:val="nil"/>
          <w:left w:val="nil"/>
          <w:bottom w:val="nil"/>
          <w:right w:val="nil"/>
          <w:between w:val="nil"/>
        </w:pBdr>
        <w:spacing w:before="6"/>
        <w:rPr>
          <w:color w:val="000000"/>
          <w:sz w:val="13"/>
          <w:szCs w:val="13"/>
        </w:rPr>
      </w:pPr>
      <w:r>
        <w:rPr>
          <w:noProof/>
        </w:rPr>
        <mc:AlternateContent>
          <mc:Choice Requires="wpg">
            <w:drawing>
              <wp:anchor distT="0" distB="0" distL="0" distR="0" simplePos="0" relativeHeight="251659264" behindDoc="0" locked="0" layoutInCell="1" hidden="0" allowOverlap="1" wp14:anchorId="39AF492D" wp14:editId="14971E17">
                <wp:simplePos x="0" y="0"/>
                <wp:positionH relativeFrom="column">
                  <wp:posOffset>284783</wp:posOffset>
                </wp:positionH>
                <wp:positionV relativeFrom="paragraph">
                  <wp:posOffset>110073</wp:posOffset>
                </wp:positionV>
                <wp:extent cx="5722620" cy="12700"/>
                <wp:effectExtent l="0" t="0" r="0" b="0"/>
                <wp:wrapTopAndBottom distT="0" distB="0"/>
                <wp:docPr id="4" name="Freeform: Shape 4"/>
                <wp:cNvGraphicFramePr/>
                <a:graphic xmlns:a="http://schemas.openxmlformats.org/drawingml/2006/main">
                  <a:graphicData uri="http://schemas.microsoft.com/office/word/2010/wordprocessingShape">
                    <wps:wsp>
                      <wps:cNvSpPr/>
                      <wps:spPr>
                        <a:xfrm>
                          <a:off x="2484690" y="3779365"/>
                          <a:ext cx="5722620" cy="1270"/>
                        </a:xfrm>
                        <a:custGeom>
                          <a:avLst/>
                          <a:gdLst/>
                          <a:ahLst/>
                          <a:cxnLst/>
                          <a:rect l="l" t="t" r="r" b="b"/>
                          <a:pathLst>
                            <a:path w="5722620" h="120000" extrusionOk="0">
                              <a:moveTo>
                                <a:pt x="0" y="0"/>
                              </a:moveTo>
                              <a:lnTo>
                                <a:pt x="5722435" y="0"/>
                              </a:lnTo>
                            </a:path>
                          </a:pathLst>
                        </a:custGeom>
                        <a:noFill/>
                        <a:ln w="9525" cap="flat" cmpd="sng">
                          <a:solidFill>
                            <a:srgbClr val="000008"/>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284783</wp:posOffset>
                </wp:positionH>
                <wp:positionV relativeFrom="paragraph">
                  <wp:posOffset>110073</wp:posOffset>
                </wp:positionV>
                <wp:extent cx="5722620" cy="12700"/>
                <wp:effectExtent b="0" l="0" r="0" t="0"/>
                <wp:wrapTopAndBottom distB="0" distT="0"/>
                <wp:docPr id="4"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5722620" cy="12700"/>
                        </a:xfrm>
                        <a:prstGeom prst="rect"/>
                        <a:ln/>
                      </pic:spPr>
                    </pic:pic>
                  </a:graphicData>
                </a:graphic>
              </wp:anchor>
            </w:drawing>
          </mc:Fallback>
        </mc:AlternateContent>
      </w:r>
    </w:p>
    <w:p w14:paraId="744B8E63" w14:textId="77777777" w:rsidR="00A92B53" w:rsidRDefault="00A92B53">
      <w:pPr>
        <w:pBdr>
          <w:top w:val="nil"/>
          <w:left w:val="nil"/>
          <w:bottom w:val="nil"/>
          <w:right w:val="nil"/>
          <w:between w:val="nil"/>
        </w:pBdr>
        <w:spacing w:before="1"/>
        <w:rPr>
          <w:color w:val="000000"/>
          <w:sz w:val="11"/>
          <w:szCs w:val="11"/>
        </w:rPr>
      </w:pPr>
    </w:p>
    <w:p w14:paraId="11A268F3" w14:textId="77777777" w:rsidR="00A92B53" w:rsidRDefault="00000000">
      <w:pPr>
        <w:numPr>
          <w:ilvl w:val="0"/>
          <w:numId w:val="1"/>
        </w:numPr>
        <w:pBdr>
          <w:top w:val="nil"/>
          <w:left w:val="nil"/>
          <w:bottom w:val="nil"/>
          <w:right w:val="nil"/>
          <w:between w:val="nil"/>
        </w:pBdr>
        <w:tabs>
          <w:tab w:val="left" w:pos="740"/>
        </w:tabs>
        <w:spacing w:before="101"/>
        <w:ind w:hanging="292"/>
        <w:jc w:val="both"/>
        <w:rPr>
          <w:b/>
          <w:bCs/>
          <w:color w:val="000009"/>
          <w:sz w:val="24"/>
          <w:szCs w:val="24"/>
        </w:rPr>
      </w:pPr>
      <w:r>
        <w:rPr>
          <w:b/>
          <w:bCs/>
          <w:color w:val="000009"/>
          <w:sz w:val="24"/>
          <w:szCs w:val="24"/>
        </w:rPr>
        <w:t>Introduction</w:t>
      </w:r>
    </w:p>
    <w:p w14:paraId="1EA0FBEF" w14:textId="77777777" w:rsidR="00A92B53" w:rsidRDefault="00000000">
      <w:pPr>
        <w:pBdr>
          <w:top w:val="nil"/>
          <w:left w:val="nil"/>
          <w:bottom w:val="nil"/>
          <w:right w:val="nil"/>
          <w:between w:val="nil"/>
        </w:pBdr>
        <w:spacing w:line="276" w:lineRule="auto"/>
        <w:ind w:left="448"/>
        <w:jc w:val="both"/>
        <w:rPr>
          <w:color w:val="000000"/>
          <w:sz w:val="20"/>
          <w:szCs w:val="20"/>
        </w:rPr>
        <w:sectPr w:rsidR="00A92B53">
          <w:headerReference w:type="default" r:id="rId11"/>
          <w:footerReference w:type="default" r:id="rId12"/>
          <w:type w:val="continuous"/>
          <w:pgSz w:w="11910" w:h="16840"/>
          <w:pgMar w:top="1340" w:right="1380" w:bottom="1060" w:left="992" w:header="722" w:footer="878" w:gutter="0"/>
          <w:cols w:space="720"/>
        </w:sectPr>
      </w:pPr>
      <w:r>
        <w:rPr>
          <w:color w:val="000000"/>
          <w:sz w:val="20"/>
          <w:szCs w:val="20"/>
        </w:rPr>
        <w:t>The complicated and tough environment makes it difficult to discover underwater communication sources. Shallower classifiers, which may include variables that were hand-designed, are used in traditional machine-learning approaches to underwater audio target detection [1]. Scientists retrieve the manually specified properties of ship-transmitted noise using time frequency, spectrum, wavelet transform, and a few other features [2, 3]. The generalizability of these manually-created traits is poor since they rely on past and specialized information. On the other hand, traditional underwater acoustic target monitoring methods exhibit subpar concordance and generalization when confronted with massive amounts of complicated data [4]. The current method of underwater sound detection is thus mostly carried out by trained sonars. Underwater target recognition using Deep Learning (DL) techniques has been a hot topic as of late. From the ship's radiant sound spectrogram, researchers used a stacking auto-encoder and flexible-max classification to extract deep properties [5]. Deep learning and deep neural network models may be used to extract deep information from radiation noise spectra of ships. The researchers combined Deep Belief Networks (DBN) with competitive learning approaches to create a Deep Beliefs network that is competitive ship-transmitted noise using time frequency, spectrum, wavelet transform.</w:t>
      </w:r>
    </w:p>
    <w:p w14:paraId="20EDC882" w14:textId="77777777" w:rsidR="00A92B53" w:rsidRDefault="00A92B53">
      <w:pPr>
        <w:pBdr>
          <w:top w:val="nil"/>
          <w:left w:val="nil"/>
          <w:bottom w:val="nil"/>
          <w:right w:val="nil"/>
          <w:between w:val="nil"/>
        </w:pBdr>
        <w:spacing w:before="1" w:line="276" w:lineRule="auto"/>
        <w:ind w:left="448" w:right="1010"/>
        <w:jc w:val="both"/>
        <w:rPr>
          <w:rFonts w:ascii="Times New Roman" w:eastAsia="Times New Roman" w:hAnsi="Times New Roman" w:cs="Times New Roman"/>
          <w:color w:val="000000"/>
          <w:sz w:val="20"/>
          <w:szCs w:val="20"/>
        </w:rPr>
      </w:pPr>
    </w:p>
    <w:tbl>
      <w:tblPr>
        <w:tblStyle w:val="a"/>
        <w:tblW w:w="8910" w:type="dxa"/>
        <w:jc w:val="center"/>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916"/>
        <w:gridCol w:w="1008"/>
        <w:gridCol w:w="2116"/>
        <w:gridCol w:w="1219"/>
        <w:gridCol w:w="2000"/>
        <w:gridCol w:w="1651"/>
      </w:tblGrid>
      <w:tr w:rsidR="00A92B53" w14:paraId="5D98CEF6" w14:textId="77777777">
        <w:trPr>
          <w:jc w:val="center"/>
        </w:trPr>
        <w:tc>
          <w:tcPr>
            <w:tcW w:w="916" w:type="dxa"/>
            <w:tcBorders>
              <w:top w:val="single" w:sz="4" w:space="0" w:color="000000"/>
              <w:bottom w:val="single" w:sz="4" w:space="0" w:color="000000"/>
            </w:tcBorders>
            <w:vAlign w:val="center"/>
          </w:tcPr>
          <w:p w14:paraId="5D31DE0B" w14:textId="77777777" w:rsidR="00A92B53" w:rsidRPr="00EB3113" w:rsidRDefault="00000000">
            <w:pPr>
              <w:jc w:val="center"/>
              <w:rPr>
                <w:rFonts w:ascii="Cambria" w:eastAsia="Cambria" w:hAnsi="Cambria" w:cs="Cambria"/>
                <w:b/>
                <w:bCs/>
                <w:color w:val="000000"/>
              </w:rPr>
            </w:pPr>
            <w:r w:rsidRPr="00EB3113">
              <w:rPr>
                <w:rFonts w:ascii="Cambria" w:eastAsia="Cambria" w:hAnsi="Cambria" w:cs="Cambria"/>
                <w:b/>
                <w:bCs/>
                <w:color w:val="000000"/>
              </w:rPr>
              <w:t>Dataset</w:t>
            </w:r>
          </w:p>
        </w:tc>
        <w:tc>
          <w:tcPr>
            <w:tcW w:w="1008" w:type="dxa"/>
            <w:tcBorders>
              <w:top w:val="single" w:sz="4" w:space="0" w:color="000000"/>
              <w:bottom w:val="single" w:sz="4" w:space="0" w:color="000000"/>
            </w:tcBorders>
            <w:vAlign w:val="center"/>
          </w:tcPr>
          <w:p w14:paraId="5D203C63" w14:textId="77777777" w:rsidR="00A92B53" w:rsidRPr="00EB3113" w:rsidRDefault="00000000">
            <w:pPr>
              <w:jc w:val="center"/>
              <w:rPr>
                <w:rFonts w:ascii="Cambria" w:eastAsia="Cambria" w:hAnsi="Cambria" w:cs="Cambria"/>
                <w:b/>
                <w:bCs/>
                <w:color w:val="000000"/>
              </w:rPr>
            </w:pPr>
            <w:r w:rsidRPr="00EB3113">
              <w:rPr>
                <w:rFonts w:ascii="Cambria" w:eastAsia="Cambria" w:hAnsi="Cambria" w:cs="Cambria"/>
                <w:b/>
                <w:bCs/>
                <w:color w:val="000000"/>
              </w:rPr>
              <w:t>Class</w:t>
            </w:r>
          </w:p>
        </w:tc>
        <w:tc>
          <w:tcPr>
            <w:tcW w:w="2116" w:type="dxa"/>
            <w:tcBorders>
              <w:top w:val="single" w:sz="4" w:space="0" w:color="000000"/>
              <w:bottom w:val="single" w:sz="4" w:space="0" w:color="000000"/>
            </w:tcBorders>
            <w:vAlign w:val="center"/>
          </w:tcPr>
          <w:p w14:paraId="38B98D7D" w14:textId="77777777" w:rsidR="00A92B53" w:rsidRPr="00EB3113" w:rsidRDefault="00000000">
            <w:pPr>
              <w:jc w:val="center"/>
              <w:rPr>
                <w:rFonts w:ascii="Cambria" w:eastAsia="Cambria" w:hAnsi="Cambria" w:cs="Cambria"/>
                <w:b/>
                <w:bCs/>
                <w:color w:val="000000"/>
              </w:rPr>
            </w:pPr>
            <w:r w:rsidRPr="00EB3113">
              <w:rPr>
                <w:rFonts w:ascii="Cambria" w:eastAsia="Cambria" w:hAnsi="Cambria" w:cs="Cambria"/>
                <w:b/>
                <w:bCs/>
                <w:color w:val="000000"/>
              </w:rPr>
              <w:t>Number of Segments</w:t>
            </w:r>
          </w:p>
        </w:tc>
        <w:tc>
          <w:tcPr>
            <w:tcW w:w="1219" w:type="dxa"/>
            <w:tcBorders>
              <w:top w:val="single" w:sz="4" w:space="0" w:color="000000"/>
              <w:bottom w:val="single" w:sz="4" w:space="0" w:color="000000"/>
            </w:tcBorders>
            <w:vAlign w:val="center"/>
          </w:tcPr>
          <w:p w14:paraId="4175C0FD" w14:textId="77777777" w:rsidR="00A92B53" w:rsidRPr="00EB3113" w:rsidRDefault="00000000">
            <w:pPr>
              <w:jc w:val="center"/>
              <w:rPr>
                <w:rFonts w:ascii="Cambria" w:eastAsia="Cambria" w:hAnsi="Cambria" w:cs="Cambria"/>
                <w:b/>
                <w:bCs/>
                <w:color w:val="000000"/>
              </w:rPr>
            </w:pPr>
            <w:r w:rsidRPr="00EB3113">
              <w:rPr>
                <w:rFonts w:ascii="Cambria" w:eastAsia="Cambria" w:hAnsi="Cambria" w:cs="Cambria"/>
                <w:b/>
                <w:bCs/>
                <w:color w:val="000000"/>
              </w:rPr>
              <w:t>Total Time</w:t>
            </w:r>
          </w:p>
        </w:tc>
        <w:tc>
          <w:tcPr>
            <w:tcW w:w="2000" w:type="dxa"/>
            <w:tcBorders>
              <w:top w:val="single" w:sz="4" w:space="0" w:color="000000"/>
              <w:bottom w:val="single" w:sz="4" w:space="0" w:color="000000"/>
            </w:tcBorders>
            <w:vAlign w:val="center"/>
          </w:tcPr>
          <w:p w14:paraId="5D7975D0" w14:textId="77777777" w:rsidR="00A92B53" w:rsidRPr="00EB3113" w:rsidRDefault="00000000">
            <w:pPr>
              <w:jc w:val="center"/>
              <w:rPr>
                <w:rFonts w:ascii="Cambria" w:eastAsia="Cambria" w:hAnsi="Cambria" w:cs="Cambria"/>
                <w:b/>
                <w:bCs/>
                <w:color w:val="000000"/>
              </w:rPr>
            </w:pPr>
            <w:r w:rsidRPr="00EB3113">
              <w:rPr>
                <w:rFonts w:ascii="Cambria" w:eastAsia="Cambria" w:hAnsi="Cambria" w:cs="Cambria"/>
                <w:b/>
                <w:bCs/>
                <w:color w:val="000000"/>
              </w:rPr>
              <w:t>Number of Samples</w:t>
            </w:r>
          </w:p>
        </w:tc>
        <w:tc>
          <w:tcPr>
            <w:tcW w:w="1651" w:type="dxa"/>
            <w:tcBorders>
              <w:top w:val="single" w:sz="4" w:space="0" w:color="000000"/>
              <w:bottom w:val="single" w:sz="4" w:space="0" w:color="000000"/>
            </w:tcBorders>
            <w:vAlign w:val="center"/>
          </w:tcPr>
          <w:p w14:paraId="17A9867B" w14:textId="77777777" w:rsidR="00A92B53" w:rsidRPr="00EB3113" w:rsidRDefault="00000000">
            <w:pPr>
              <w:jc w:val="center"/>
              <w:rPr>
                <w:rFonts w:ascii="Cambria" w:eastAsia="Cambria" w:hAnsi="Cambria" w:cs="Cambria"/>
                <w:b/>
                <w:bCs/>
                <w:color w:val="000000"/>
              </w:rPr>
            </w:pPr>
            <w:r w:rsidRPr="00EB3113">
              <w:rPr>
                <w:rFonts w:ascii="Cambria" w:eastAsia="Cambria" w:hAnsi="Cambria" w:cs="Cambria"/>
                <w:b/>
                <w:bCs/>
                <w:color w:val="000000"/>
              </w:rPr>
              <w:t>Percentage (%)</w:t>
            </w:r>
          </w:p>
        </w:tc>
      </w:tr>
      <w:tr w:rsidR="00A92B53" w14:paraId="5860196D" w14:textId="77777777">
        <w:trPr>
          <w:jc w:val="center"/>
        </w:trPr>
        <w:tc>
          <w:tcPr>
            <w:tcW w:w="916" w:type="dxa"/>
            <w:tcBorders>
              <w:top w:val="single" w:sz="4" w:space="0" w:color="000000"/>
            </w:tcBorders>
            <w:vAlign w:val="center"/>
          </w:tcPr>
          <w:p w14:paraId="4A4888A3" w14:textId="77777777" w:rsidR="00A92B53" w:rsidRPr="00EB3113" w:rsidRDefault="00000000">
            <w:pPr>
              <w:jc w:val="center"/>
              <w:rPr>
                <w:rFonts w:ascii="Cambria" w:eastAsia="Cambria" w:hAnsi="Cambria" w:cs="Cambria"/>
                <w:color w:val="000000"/>
                <w:sz w:val="18"/>
                <w:szCs w:val="18"/>
              </w:rPr>
            </w:pPr>
            <w:r w:rsidRPr="00EB3113">
              <w:rPr>
                <w:rFonts w:ascii="Cambria" w:eastAsia="Cambria" w:hAnsi="Cambria" w:cs="Cambria"/>
                <w:color w:val="000000"/>
                <w:sz w:val="18"/>
                <w:szCs w:val="18"/>
              </w:rPr>
              <w:t>Training</w:t>
            </w:r>
          </w:p>
        </w:tc>
        <w:tc>
          <w:tcPr>
            <w:tcW w:w="1008" w:type="dxa"/>
            <w:tcBorders>
              <w:top w:val="single" w:sz="4" w:space="0" w:color="000000"/>
            </w:tcBorders>
            <w:vAlign w:val="center"/>
          </w:tcPr>
          <w:p w14:paraId="5BAEA3D0" w14:textId="77777777" w:rsidR="00A92B53" w:rsidRPr="00EB3113" w:rsidRDefault="00000000">
            <w:pPr>
              <w:jc w:val="center"/>
              <w:rPr>
                <w:rFonts w:ascii="Cambria" w:eastAsia="Cambria" w:hAnsi="Cambria" w:cs="Cambria"/>
                <w:color w:val="000000"/>
                <w:sz w:val="18"/>
                <w:szCs w:val="18"/>
              </w:rPr>
            </w:pPr>
            <w:r w:rsidRPr="00EB3113">
              <w:rPr>
                <w:rFonts w:ascii="Cambria" w:eastAsia="Cambria" w:hAnsi="Cambria" w:cs="Cambria"/>
                <w:color w:val="000000"/>
                <w:sz w:val="18"/>
                <w:szCs w:val="18"/>
              </w:rPr>
              <w:t>Small ship</w:t>
            </w:r>
          </w:p>
          <w:p w14:paraId="55CF5128" w14:textId="77777777" w:rsidR="00A92B53" w:rsidRPr="00EB3113" w:rsidRDefault="00000000">
            <w:pPr>
              <w:jc w:val="center"/>
              <w:rPr>
                <w:rFonts w:ascii="Cambria" w:eastAsia="Cambria" w:hAnsi="Cambria" w:cs="Cambria"/>
                <w:color w:val="000000"/>
                <w:sz w:val="18"/>
                <w:szCs w:val="18"/>
              </w:rPr>
            </w:pPr>
            <w:r w:rsidRPr="00EB3113">
              <w:rPr>
                <w:rFonts w:ascii="Cambria" w:eastAsia="Cambria" w:hAnsi="Cambria" w:cs="Cambria"/>
                <w:color w:val="000000"/>
                <w:sz w:val="18"/>
                <w:szCs w:val="18"/>
              </w:rPr>
              <w:t>Ferry</w:t>
            </w:r>
          </w:p>
          <w:p w14:paraId="0D694945" w14:textId="77777777" w:rsidR="00A92B53" w:rsidRPr="00EB3113" w:rsidRDefault="00000000">
            <w:pPr>
              <w:jc w:val="center"/>
              <w:rPr>
                <w:rFonts w:ascii="Cambria" w:eastAsia="Cambria" w:hAnsi="Cambria" w:cs="Cambria"/>
                <w:color w:val="000000"/>
                <w:sz w:val="18"/>
                <w:szCs w:val="18"/>
              </w:rPr>
            </w:pPr>
            <w:r w:rsidRPr="00EB3113">
              <w:rPr>
                <w:rFonts w:ascii="Cambria" w:eastAsia="Cambria" w:hAnsi="Cambria" w:cs="Cambria"/>
                <w:color w:val="000000"/>
                <w:sz w:val="18"/>
                <w:szCs w:val="18"/>
              </w:rPr>
              <w:t>Big ship</w:t>
            </w:r>
          </w:p>
        </w:tc>
        <w:tc>
          <w:tcPr>
            <w:tcW w:w="2116" w:type="dxa"/>
            <w:tcBorders>
              <w:top w:val="single" w:sz="4" w:space="0" w:color="000000"/>
            </w:tcBorders>
            <w:vAlign w:val="center"/>
          </w:tcPr>
          <w:p w14:paraId="1B2C9876" w14:textId="77777777" w:rsidR="00A92B53" w:rsidRPr="00EB3113" w:rsidRDefault="00000000">
            <w:pPr>
              <w:jc w:val="center"/>
              <w:rPr>
                <w:rFonts w:ascii="Cambria" w:eastAsia="Cambria" w:hAnsi="Cambria" w:cs="Cambria"/>
                <w:color w:val="000000"/>
                <w:sz w:val="18"/>
                <w:szCs w:val="18"/>
              </w:rPr>
            </w:pPr>
            <w:r w:rsidRPr="00EB3113">
              <w:rPr>
                <w:rFonts w:ascii="Cambria" w:eastAsia="Cambria" w:hAnsi="Cambria" w:cs="Cambria"/>
                <w:color w:val="000000"/>
                <w:sz w:val="18"/>
                <w:szCs w:val="18"/>
              </w:rPr>
              <w:t>327</w:t>
            </w:r>
          </w:p>
          <w:p w14:paraId="18E1A9C8" w14:textId="77777777" w:rsidR="00A92B53" w:rsidRPr="00EB3113" w:rsidRDefault="00000000">
            <w:pPr>
              <w:jc w:val="center"/>
              <w:rPr>
                <w:rFonts w:ascii="Cambria" w:eastAsia="Cambria" w:hAnsi="Cambria" w:cs="Cambria"/>
                <w:color w:val="000000"/>
                <w:sz w:val="18"/>
                <w:szCs w:val="18"/>
              </w:rPr>
            </w:pPr>
            <w:r w:rsidRPr="00EB3113">
              <w:rPr>
                <w:rFonts w:ascii="Cambria" w:eastAsia="Cambria" w:hAnsi="Cambria" w:cs="Cambria"/>
                <w:color w:val="000000"/>
                <w:sz w:val="18"/>
                <w:szCs w:val="18"/>
              </w:rPr>
              <w:t>561</w:t>
            </w:r>
          </w:p>
          <w:p w14:paraId="243B1900" w14:textId="77777777" w:rsidR="00A92B53" w:rsidRPr="00EB3113" w:rsidRDefault="00000000">
            <w:pPr>
              <w:jc w:val="center"/>
              <w:rPr>
                <w:rFonts w:ascii="Cambria" w:eastAsia="Cambria" w:hAnsi="Cambria" w:cs="Cambria"/>
                <w:color w:val="000000"/>
                <w:sz w:val="18"/>
                <w:szCs w:val="18"/>
              </w:rPr>
            </w:pPr>
            <w:r w:rsidRPr="00EB3113">
              <w:rPr>
                <w:rFonts w:ascii="Cambria" w:eastAsia="Cambria" w:hAnsi="Cambria" w:cs="Cambria"/>
                <w:color w:val="000000"/>
                <w:sz w:val="18"/>
                <w:szCs w:val="18"/>
              </w:rPr>
              <w:t>120</w:t>
            </w:r>
          </w:p>
        </w:tc>
        <w:tc>
          <w:tcPr>
            <w:tcW w:w="1219" w:type="dxa"/>
            <w:tcBorders>
              <w:top w:val="single" w:sz="4" w:space="0" w:color="000000"/>
            </w:tcBorders>
            <w:vAlign w:val="center"/>
          </w:tcPr>
          <w:p w14:paraId="0A3AE973" w14:textId="77777777" w:rsidR="00A92B53" w:rsidRPr="00EB3113" w:rsidRDefault="00000000">
            <w:pPr>
              <w:jc w:val="center"/>
              <w:rPr>
                <w:rFonts w:ascii="Cambria" w:eastAsia="Cambria" w:hAnsi="Cambria" w:cs="Cambria"/>
                <w:color w:val="000000"/>
                <w:sz w:val="18"/>
                <w:szCs w:val="18"/>
              </w:rPr>
            </w:pPr>
            <w:r w:rsidRPr="00EB3113">
              <w:rPr>
                <w:rFonts w:ascii="Cambria" w:eastAsia="Cambria" w:hAnsi="Cambria" w:cs="Cambria"/>
                <w:color w:val="000000"/>
                <w:sz w:val="18"/>
                <w:szCs w:val="18"/>
              </w:rPr>
              <w:t>0.92</w:t>
            </w:r>
          </w:p>
          <w:p w14:paraId="111A8918" w14:textId="77777777" w:rsidR="00A92B53" w:rsidRPr="00EB3113" w:rsidRDefault="00000000">
            <w:pPr>
              <w:jc w:val="center"/>
              <w:rPr>
                <w:rFonts w:ascii="Cambria" w:eastAsia="Cambria" w:hAnsi="Cambria" w:cs="Cambria"/>
                <w:color w:val="000000"/>
                <w:sz w:val="18"/>
                <w:szCs w:val="18"/>
              </w:rPr>
            </w:pPr>
            <w:r w:rsidRPr="00EB3113">
              <w:rPr>
                <w:rFonts w:ascii="Cambria" w:eastAsia="Cambria" w:hAnsi="Cambria" w:cs="Cambria"/>
                <w:color w:val="000000"/>
                <w:sz w:val="18"/>
                <w:szCs w:val="18"/>
              </w:rPr>
              <w:t>1.56</w:t>
            </w:r>
          </w:p>
          <w:p w14:paraId="420A068E" w14:textId="77777777" w:rsidR="00A92B53" w:rsidRPr="00EB3113" w:rsidRDefault="00000000">
            <w:pPr>
              <w:jc w:val="center"/>
              <w:rPr>
                <w:rFonts w:ascii="Cambria" w:eastAsia="Cambria" w:hAnsi="Cambria" w:cs="Cambria"/>
                <w:color w:val="000000"/>
                <w:sz w:val="18"/>
                <w:szCs w:val="18"/>
              </w:rPr>
            </w:pPr>
            <w:r w:rsidRPr="00EB3113">
              <w:rPr>
                <w:rFonts w:ascii="Cambria" w:eastAsia="Cambria" w:hAnsi="Cambria" w:cs="Cambria"/>
                <w:color w:val="000000"/>
                <w:sz w:val="18"/>
                <w:szCs w:val="18"/>
              </w:rPr>
              <w:t>0.34</w:t>
            </w:r>
          </w:p>
        </w:tc>
        <w:tc>
          <w:tcPr>
            <w:tcW w:w="2000" w:type="dxa"/>
            <w:tcBorders>
              <w:top w:val="single" w:sz="4" w:space="0" w:color="000000"/>
            </w:tcBorders>
            <w:vAlign w:val="center"/>
          </w:tcPr>
          <w:p w14:paraId="15AA4F34" w14:textId="77777777" w:rsidR="00A92B53" w:rsidRPr="00EB3113" w:rsidRDefault="00000000">
            <w:pPr>
              <w:jc w:val="center"/>
              <w:rPr>
                <w:rFonts w:ascii="Cambria" w:eastAsia="Cambria" w:hAnsi="Cambria" w:cs="Cambria"/>
                <w:color w:val="000000"/>
                <w:sz w:val="18"/>
                <w:szCs w:val="18"/>
              </w:rPr>
            </w:pPr>
            <w:r w:rsidRPr="00EB3113">
              <w:rPr>
                <w:rFonts w:ascii="Cambria" w:eastAsia="Cambria" w:hAnsi="Cambria" w:cs="Cambria"/>
                <w:color w:val="000000"/>
                <w:sz w:val="18"/>
                <w:szCs w:val="18"/>
              </w:rPr>
              <w:t>260742</w:t>
            </w:r>
          </w:p>
          <w:p w14:paraId="41AD3AA8" w14:textId="77777777" w:rsidR="00A92B53" w:rsidRPr="00EB3113" w:rsidRDefault="00000000">
            <w:pPr>
              <w:jc w:val="center"/>
              <w:rPr>
                <w:rFonts w:ascii="Cambria" w:eastAsia="Cambria" w:hAnsi="Cambria" w:cs="Cambria"/>
                <w:color w:val="000000"/>
                <w:sz w:val="18"/>
                <w:szCs w:val="18"/>
              </w:rPr>
            </w:pPr>
            <w:r w:rsidRPr="00EB3113">
              <w:rPr>
                <w:rFonts w:ascii="Cambria" w:eastAsia="Cambria" w:hAnsi="Cambria" w:cs="Cambria"/>
                <w:color w:val="000000"/>
                <w:sz w:val="18"/>
                <w:szCs w:val="18"/>
              </w:rPr>
              <w:t>447746</w:t>
            </w:r>
          </w:p>
          <w:p w14:paraId="2DB024C9" w14:textId="77777777" w:rsidR="00A92B53" w:rsidRPr="00EB3113" w:rsidRDefault="00000000">
            <w:pPr>
              <w:jc w:val="center"/>
              <w:rPr>
                <w:rFonts w:ascii="Cambria" w:eastAsia="Cambria" w:hAnsi="Cambria" w:cs="Cambria"/>
                <w:color w:val="000000"/>
                <w:sz w:val="18"/>
                <w:szCs w:val="18"/>
              </w:rPr>
            </w:pPr>
            <w:r w:rsidRPr="00EB3113">
              <w:rPr>
                <w:rFonts w:ascii="Cambria" w:eastAsia="Cambria" w:hAnsi="Cambria" w:cs="Cambria"/>
                <w:color w:val="000000"/>
                <w:sz w:val="18"/>
                <w:szCs w:val="18"/>
              </w:rPr>
              <w:t>95234</w:t>
            </w:r>
          </w:p>
        </w:tc>
        <w:tc>
          <w:tcPr>
            <w:tcW w:w="1651" w:type="dxa"/>
            <w:tcBorders>
              <w:top w:val="single" w:sz="4" w:space="0" w:color="000000"/>
            </w:tcBorders>
            <w:vAlign w:val="center"/>
          </w:tcPr>
          <w:p w14:paraId="5980001F" w14:textId="77777777" w:rsidR="00A92B53" w:rsidRPr="00EB3113" w:rsidRDefault="00000000">
            <w:pPr>
              <w:jc w:val="center"/>
              <w:rPr>
                <w:rFonts w:ascii="Cambria" w:eastAsia="Cambria" w:hAnsi="Cambria" w:cs="Cambria"/>
                <w:color w:val="000000"/>
                <w:sz w:val="18"/>
                <w:szCs w:val="18"/>
              </w:rPr>
            </w:pPr>
            <w:r w:rsidRPr="00EB3113">
              <w:rPr>
                <w:rFonts w:ascii="Cambria" w:eastAsia="Cambria" w:hAnsi="Cambria" w:cs="Cambria"/>
                <w:color w:val="000000"/>
                <w:sz w:val="18"/>
                <w:szCs w:val="18"/>
              </w:rPr>
              <w:t>26.2</w:t>
            </w:r>
          </w:p>
          <w:p w14:paraId="1E917B95" w14:textId="77777777" w:rsidR="00A92B53" w:rsidRPr="00EB3113" w:rsidRDefault="00000000">
            <w:pPr>
              <w:jc w:val="center"/>
              <w:rPr>
                <w:rFonts w:ascii="Cambria" w:eastAsia="Cambria" w:hAnsi="Cambria" w:cs="Cambria"/>
                <w:color w:val="000000"/>
                <w:sz w:val="18"/>
                <w:szCs w:val="18"/>
              </w:rPr>
            </w:pPr>
            <w:r w:rsidRPr="00EB3113">
              <w:rPr>
                <w:rFonts w:ascii="Cambria" w:eastAsia="Cambria" w:hAnsi="Cambria" w:cs="Cambria"/>
                <w:color w:val="000000"/>
                <w:sz w:val="18"/>
                <w:szCs w:val="18"/>
              </w:rPr>
              <w:t>44.7</w:t>
            </w:r>
          </w:p>
          <w:p w14:paraId="4E3EC032" w14:textId="77777777" w:rsidR="00A92B53" w:rsidRPr="00EB3113" w:rsidRDefault="00000000">
            <w:pPr>
              <w:jc w:val="center"/>
              <w:rPr>
                <w:rFonts w:ascii="Cambria" w:eastAsia="Cambria" w:hAnsi="Cambria" w:cs="Cambria"/>
                <w:color w:val="000000"/>
                <w:sz w:val="18"/>
                <w:szCs w:val="18"/>
              </w:rPr>
            </w:pPr>
            <w:r w:rsidRPr="00EB3113">
              <w:rPr>
                <w:rFonts w:ascii="Cambria" w:eastAsia="Cambria" w:hAnsi="Cambria" w:cs="Cambria"/>
                <w:color w:val="000000"/>
                <w:sz w:val="18"/>
                <w:szCs w:val="18"/>
              </w:rPr>
              <w:t>9.6</w:t>
            </w:r>
          </w:p>
        </w:tc>
      </w:tr>
      <w:tr w:rsidR="00A92B53" w14:paraId="08C6EB32" w14:textId="77777777">
        <w:trPr>
          <w:jc w:val="center"/>
        </w:trPr>
        <w:tc>
          <w:tcPr>
            <w:tcW w:w="916" w:type="dxa"/>
            <w:vAlign w:val="center"/>
          </w:tcPr>
          <w:p w14:paraId="79BC4D93" w14:textId="77777777" w:rsidR="00A92B53" w:rsidRPr="00EB3113" w:rsidRDefault="00000000">
            <w:pPr>
              <w:jc w:val="center"/>
              <w:rPr>
                <w:rFonts w:ascii="Cambria" w:eastAsia="Cambria" w:hAnsi="Cambria" w:cs="Cambria"/>
                <w:color w:val="000000"/>
                <w:sz w:val="18"/>
                <w:szCs w:val="18"/>
              </w:rPr>
            </w:pPr>
            <w:r w:rsidRPr="00EB3113">
              <w:rPr>
                <w:rFonts w:ascii="Cambria" w:eastAsia="Cambria" w:hAnsi="Cambria" w:cs="Cambria"/>
                <w:color w:val="000000"/>
                <w:sz w:val="18"/>
                <w:szCs w:val="18"/>
              </w:rPr>
              <w:t>Testing</w:t>
            </w:r>
          </w:p>
        </w:tc>
        <w:tc>
          <w:tcPr>
            <w:tcW w:w="1008" w:type="dxa"/>
            <w:vAlign w:val="center"/>
          </w:tcPr>
          <w:p w14:paraId="47F8FE95" w14:textId="77777777" w:rsidR="00A92B53" w:rsidRPr="00EB3113" w:rsidRDefault="00000000">
            <w:pPr>
              <w:jc w:val="center"/>
              <w:rPr>
                <w:rFonts w:ascii="Cambria" w:eastAsia="Cambria" w:hAnsi="Cambria" w:cs="Cambria"/>
                <w:color w:val="000000"/>
                <w:sz w:val="18"/>
                <w:szCs w:val="18"/>
              </w:rPr>
            </w:pPr>
            <w:r w:rsidRPr="00EB3113">
              <w:rPr>
                <w:rFonts w:ascii="Cambria" w:eastAsia="Cambria" w:hAnsi="Cambria" w:cs="Cambria"/>
                <w:color w:val="000000"/>
                <w:sz w:val="18"/>
                <w:szCs w:val="18"/>
              </w:rPr>
              <w:t>Small ship</w:t>
            </w:r>
          </w:p>
          <w:p w14:paraId="364B6F79" w14:textId="77777777" w:rsidR="00A92B53" w:rsidRPr="00EB3113" w:rsidRDefault="00000000">
            <w:pPr>
              <w:jc w:val="center"/>
              <w:rPr>
                <w:rFonts w:ascii="Cambria" w:eastAsia="Cambria" w:hAnsi="Cambria" w:cs="Cambria"/>
                <w:color w:val="000000"/>
                <w:sz w:val="18"/>
                <w:szCs w:val="18"/>
              </w:rPr>
            </w:pPr>
            <w:r w:rsidRPr="00EB3113">
              <w:rPr>
                <w:rFonts w:ascii="Cambria" w:eastAsia="Cambria" w:hAnsi="Cambria" w:cs="Cambria"/>
                <w:color w:val="000000"/>
                <w:sz w:val="18"/>
                <w:szCs w:val="18"/>
              </w:rPr>
              <w:t>Ferry</w:t>
            </w:r>
          </w:p>
          <w:p w14:paraId="07004A87" w14:textId="77777777" w:rsidR="00A92B53" w:rsidRPr="00EB3113" w:rsidRDefault="00000000">
            <w:pPr>
              <w:jc w:val="center"/>
              <w:rPr>
                <w:rFonts w:ascii="Cambria" w:eastAsia="Cambria" w:hAnsi="Cambria" w:cs="Cambria"/>
                <w:color w:val="000000"/>
                <w:sz w:val="18"/>
                <w:szCs w:val="18"/>
              </w:rPr>
            </w:pPr>
            <w:r w:rsidRPr="00EB3113">
              <w:rPr>
                <w:rFonts w:ascii="Cambria" w:eastAsia="Cambria" w:hAnsi="Cambria" w:cs="Cambria"/>
                <w:color w:val="000000"/>
                <w:sz w:val="18"/>
                <w:szCs w:val="18"/>
              </w:rPr>
              <w:t>Big ship</w:t>
            </w:r>
          </w:p>
        </w:tc>
        <w:tc>
          <w:tcPr>
            <w:tcW w:w="2116" w:type="dxa"/>
            <w:vAlign w:val="center"/>
          </w:tcPr>
          <w:p w14:paraId="3137E127" w14:textId="77777777" w:rsidR="00A92B53" w:rsidRPr="00EB3113" w:rsidRDefault="00000000">
            <w:pPr>
              <w:jc w:val="center"/>
              <w:rPr>
                <w:rFonts w:ascii="Cambria" w:eastAsia="Cambria" w:hAnsi="Cambria" w:cs="Cambria"/>
                <w:color w:val="000000"/>
                <w:sz w:val="18"/>
                <w:szCs w:val="18"/>
              </w:rPr>
            </w:pPr>
            <w:r w:rsidRPr="00EB3113">
              <w:rPr>
                <w:rFonts w:ascii="Cambria" w:eastAsia="Cambria" w:hAnsi="Cambria" w:cs="Cambria"/>
                <w:color w:val="000000"/>
                <w:sz w:val="18"/>
                <w:szCs w:val="18"/>
              </w:rPr>
              <w:t>83</w:t>
            </w:r>
          </w:p>
          <w:p w14:paraId="47C57347" w14:textId="77777777" w:rsidR="00A92B53" w:rsidRPr="00EB3113" w:rsidRDefault="00000000">
            <w:pPr>
              <w:jc w:val="center"/>
              <w:rPr>
                <w:rFonts w:ascii="Cambria" w:eastAsia="Cambria" w:hAnsi="Cambria" w:cs="Cambria"/>
                <w:color w:val="000000"/>
                <w:sz w:val="18"/>
                <w:szCs w:val="18"/>
              </w:rPr>
            </w:pPr>
            <w:r w:rsidRPr="00EB3113">
              <w:rPr>
                <w:rFonts w:ascii="Cambria" w:eastAsia="Cambria" w:hAnsi="Cambria" w:cs="Cambria"/>
                <w:color w:val="000000"/>
                <w:sz w:val="18"/>
                <w:szCs w:val="18"/>
              </w:rPr>
              <w:t>140</w:t>
            </w:r>
          </w:p>
          <w:p w14:paraId="7CE44A06" w14:textId="77777777" w:rsidR="00A92B53" w:rsidRPr="00EB3113" w:rsidRDefault="00000000">
            <w:pPr>
              <w:jc w:val="center"/>
              <w:rPr>
                <w:rFonts w:ascii="Cambria" w:eastAsia="Cambria" w:hAnsi="Cambria" w:cs="Cambria"/>
                <w:color w:val="000000"/>
                <w:sz w:val="18"/>
                <w:szCs w:val="18"/>
              </w:rPr>
            </w:pPr>
            <w:r w:rsidRPr="00EB3113">
              <w:rPr>
                <w:rFonts w:ascii="Cambria" w:eastAsia="Cambria" w:hAnsi="Cambria" w:cs="Cambria"/>
                <w:color w:val="000000"/>
                <w:sz w:val="18"/>
                <w:szCs w:val="18"/>
              </w:rPr>
              <w:t>31</w:t>
            </w:r>
          </w:p>
        </w:tc>
        <w:tc>
          <w:tcPr>
            <w:tcW w:w="1219" w:type="dxa"/>
            <w:vAlign w:val="center"/>
          </w:tcPr>
          <w:p w14:paraId="5CF8C336" w14:textId="77777777" w:rsidR="00A92B53" w:rsidRPr="00EB3113" w:rsidRDefault="00000000">
            <w:pPr>
              <w:jc w:val="center"/>
              <w:rPr>
                <w:rFonts w:ascii="Cambria" w:eastAsia="Cambria" w:hAnsi="Cambria" w:cs="Cambria"/>
                <w:color w:val="000000"/>
                <w:sz w:val="18"/>
                <w:szCs w:val="18"/>
              </w:rPr>
            </w:pPr>
            <w:r w:rsidRPr="00EB3113">
              <w:rPr>
                <w:rFonts w:ascii="Cambria" w:eastAsia="Cambria" w:hAnsi="Cambria" w:cs="Cambria"/>
                <w:color w:val="000000"/>
                <w:sz w:val="18"/>
                <w:szCs w:val="18"/>
              </w:rPr>
              <w:t>0.24</w:t>
            </w:r>
          </w:p>
          <w:p w14:paraId="4E65D259" w14:textId="77777777" w:rsidR="00A92B53" w:rsidRPr="00EB3113" w:rsidRDefault="00000000">
            <w:pPr>
              <w:jc w:val="center"/>
              <w:rPr>
                <w:rFonts w:ascii="Cambria" w:eastAsia="Cambria" w:hAnsi="Cambria" w:cs="Cambria"/>
                <w:color w:val="000000"/>
                <w:sz w:val="18"/>
                <w:szCs w:val="18"/>
              </w:rPr>
            </w:pPr>
            <w:r w:rsidRPr="00EB3113">
              <w:rPr>
                <w:rFonts w:ascii="Cambria" w:eastAsia="Cambria" w:hAnsi="Cambria" w:cs="Cambria"/>
                <w:color w:val="000000"/>
                <w:sz w:val="18"/>
                <w:szCs w:val="18"/>
              </w:rPr>
              <w:t>0.40</w:t>
            </w:r>
          </w:p>
          <w:p w14:paraId="3343711B" w14:textId="77777777" w:rsidR="00A92B53" w:rsidRPr="00EB3113" w:rsidRDefault="00000000">
            <w:pPr>
              <w:jc w:val="center"/>
              <w:rPr>
                <w:rFonts w:ascii="Cambria" w:eastAsia="Cambria" w:hAnsi="Cambria" w:cs="Cambria"/>
                <w:color w:val="000000"/>
                <w:sz w:val="18"/>
                <w:szCs w:val="18"/>
              </w:rPr>
            </w:pPr>
            <w:r w:rsidRPr="00EB3113">
              <w:rPr>
                <w:rFonts w:ascii="Cambria" w:eastAsia="Cambria" w:hAnsi="Cambria" w:cs="Cambria"/>
                <w:color w:val="000000"/>
                <w:sz w:val="18"/>
                <w:szCs w:val="18"/>
              </w:rPr>
              <w:t>0.09</w:t>
            </w:r>
          </w:p>
        </w:tc>
        <w:tc>
          <w:tcPr>
            <w:tcW w:w="2000" w:type="dxa"/>
            <w:vAlign w:val="center"/>
          </w:tcPr>
          <w:p w14:paraId="3D56EB4E" w14:textId="77777777" w:rsidR="00A92B53" w:rsidRPr="00EB3113" w:rsidRDefault="00000000">
            <w:pPr>
              <w:jc w:val="center"/>
              <w:rPr>
                <w:rFonts w:ascii="Cambria" w:eastAsia="Cambria" w:hAnsi="Cambria" w:cs="Cambria"/>
                <w:color w:val="000000"/>
                <w:sz w:val="18"/>
                <w:szCs w:val="18"/>
              </w:rPr>
            </w:pPr>
            <w:r w:rsidRPr="00EB3113">
              <w:rPr>
                <w:rFonts w:ascii="Cambria" w:eastAsia="Cambria" w:hAnsi="Cambria" w:cs="Cambria"/>
                <w:color w:val="000000"/>
                <w:sz w:val="18"/>
                <w:szCs w:val="18"/>
              </w:rPr>
              <w:t>65235</w:t>
            </w:r>
          </w:p>
          <w:p w14:paraId="4A8DE8A6" w14:textId="77777777" w:rsidR="00A92B53" w:rsidRPr="00EB3113" w:rsidRDefault="00000000">
            <w:pPr>
              <w:jc w:val="center"/>
              <w:rPr>
                <w:rFonts w:ascii="Cambria" w:eastAsia="Cambria" w:hAnsi="Cambria" w:cs="Cambria"/>
                <w:color w:val="000000"/>
                <w:sz w:val="18"/>
                <w:szCs w:val="18"/>
              </w:rPr>
            </w:pPr>
            <w:r w:rsidRPr="00EB3113">
              <w:rPr>
                <w:rFonts w:ascii="Cambria" w:eastAsia="Cambria" w:hAnsi="Cambria" w:cs="Cambria"/>
                <w:color w:val="000000"/>
                <w:sz w:val="18"/>
                <w:szCs w:val="18"/>
              </w:rPr>
              <w:t>111941</w:t>
            </w:r>
          </w:p>
          <w:p w14:paraId="412315ED" w14:textId="77777777" w:rsidR="00A92B53" w:rsidRPr="00EB3113" w:rsidRDefault="00000000">
            <w:pPr>
              <w:jc w:val="center"/>
              <w:rPr>
                <w:rFonts w:ascii="Cambria" w:eastAsia="Cambria" w:hAnsi="Cambria" w:cs="Cambria"/>
                <w:color w:val="000000"/>
                <w:sz w:val="18"/>
                <w:szCs w:val="18"/>
              </w:rPr>
            </w:pPr>
            <w:r w:rsidRPr="00EB3113">
              <w:rPr>
                <w:rFonts w:ascii="Cambria" w:eastAsia="Cambria" w:hAnsi="Cambria" w:cs="Cambria"/>
                <w:color w:val="000000"/>
                <w:sz w:val="18"/>
                <w:szCs w:val="18"/>
              </w:rPr>
              <w:t>23862</w:t>
            </w:r>
          </w:p>
        </w:tc>
        <w:tc>
          <w:tcPr>
            <w:tcW w:w="1651" w:type="dxa"/>
            <w:vAlign w:val="center"/>
          </w:tcPr>
          <w:p w14:paraId="7A0CF4F8" w14:textId="77777777" w:rsidR="00A92B53" w:rsidRPr="00EB3113" w:rsidRDefault="00000000">
            <w:pPr>
              <w:jc w:val="center"/>
              <w:rPr>
                <w:rFonts w:ascii="Cambria" w:eastAsia="Cambria" w:hAnsi="Cambria" w:cs="Cambria"/>
                <w:color w:val="000000"/>
                <w:sz w:val="18"/>
                <w:szCs w:val="18"/>
              </w:rPr>
            </w:pPr>
            <w:r w:rsidRPr="00EB3113">
              <w:rPr>
                <w:rFonts w:ascii="Cambria" w:eastAsia="Cambria" w:hAnsi="Cambria" w:cs="Cambria"/>
                <w:color w:val="000000"/>
                <w:sz w:val="18"/>
                <w:szCs w:val="18"/>
              </w:rPr>
              <w:t>26.6</w:t>
            </w:r>
          </w:p>
          <w:p w14:paraId="5E1EC00F" w14:textId="77777777" w:rsidR="00A92B53" w:rsidRPr="00EB3113" w:rsidRDefault="00000000">
            <w:pPr>
              <w:jc w:val="center"/>
              <w:rPr>
                <w:rFonts w:ascii="Cambria" w:eastAsia="Cambria" w:hAnsi="Cambria" w:cs="Cambria"/>
                <w:color w:val="000000"/>
                <w:sz w:val="18"/>
                <w:szCs w:val="18"/>
              </w:rPr>
            </w:pPr>
            <w:r w:rsidRPr="00EB3113">
              <w:rPr>
                <w:rFonts w:ascii="Cambria" w:eastAsia="Cambria" w:hAnsi="Cambria" w:cs="Cambria"/>
                <w:color w:val="000000"/>
                <w:sz w:val="18"/>
                <w:szCs w:val="18"/>
              </w:rPr>
              <w:t>11.2</w:t>
            </w:r>
          </w:p>
          <w:p w14:paraId="5CBAE3ED" w14:textId="77777777" w:rsidR="00A92B53" w:rsidRPr="00EB3113" w:rsidRDefault="00000000">
            <w:pPr>
              <w:jc w:val="center"/>
              <w:rPr>
                <w:rFonts w:ascii="Cambria" w:eastAsia="Cambria" w:hAnsi="Cambria" w:cs="Cambria"/>
                <w:color w:val="000000"/>
                <w:sz w:val="18"/>
                <w:szCs w:val="18"/>
              </w:rPr>
            </w:pPr>
            <w:r w:rsidRPr="00EB3113">
              <w:rPr>
                <w:rFonts w:ascii="Cambria" w:eastAsia="Cambria" w:hAnsi="Cambria" w:cs="Cambria"/>
                <w:color w:val="000000"/>
                <w:sz w:val="18"/>
                <w:szCs w:val="18"/>
              </w:rPr>
              <w:t>2.5</w:t>
            </w:r>
          </w:p>
        </w:tc>
      </w:tr>
    </w:tbl>
    <w:p w14:paraId="52398673" w14:textId="77777777" w:rsidR="00A92B53" w:rsidRDefault="00A92B53">
      <w:pPr>
        <w:jc w:val="center"/>
        <w:rPr>
          <w:rFonts w:ascii="Times New Roman" w:eastAsia="Times New Roman" w:hAnsi="Times New Roman" w:cs="Times New Roman"/>
          <w:b/>
          <w:bCs/>
        </w:rPr>
      </w:pPr>
    </w:p>
    <w:p w14:paraId="03E7C6D8" w14:textId="77777777" w:rsidR="00A92B53" w:rsidRDefault="00000000">
      <w:pPr>
        <w:jc w:val="center"/>
        <w:rPr>
          <w:sz w:val="20"/>
          <w:szCs w:val="20"/>
        </w:rPr>
      </w:pPr>
      <w:r>
        <w:rPr>
          <w:b/>
          <w:bCs/>
          <w:sz w:val="20"/>
          <w:szCs w:val="20"/>
        </w:rPr>
        <w:t>Table 1.</w:t>
      </w:r>
      <w:r>
        <w:rPr>
          <w:sz w:val="20"/>
          <w:szCs w:val="20"/>
        </w:rPr>
        <w:t xml:space="preserve"> Dataset training and testing</w:t>
      </w:r>
    </w:p>
    <w:p w14:paraId="6DC3F082" w14:textId="77777777" w:rsidR="00A92B53" w:rsidRDefault="00A92B53">
      <w:pPr>
        <w:pBdr>
          <w:top w:val="nil"/>
          <w:left w:val="nil"/>
          <w:bottom w:val="nil"/>
          <w:right w:val="nil"/>
          <w:between w:val="nil"/>
        </w:pBdr>
        <w:spacing w:before="1" w:line="276" w:lineRule="auto"/>
        <w:ind w:left="448" w:right="1010"/>
        <w:jc w:val="both"/>
        <w:rPr>
          <w:rFonts w:ascii="Times New Roman" w:eastAsia="Times New Roman" w:hAnsi="Times New Roman" w:cs="Times New Roman"/>
          <w:color w:val="000000"/>
          <w:sz w:val="20"/>
          <w:szCs w:val="20"/>
        </w:rPr>
      </w:pPr>
    </w:p>
    <w:p w14:paraId="10EE933B" w14:textId="77777777" w:rsidR="00A92B53" w:rsidRDefault="00A92B53">
      <w:pPr>
        <w:pBdr>
          <w:top w:val="nil"/>
          <w:left w:val="nil"/>
          <w:bottom w:val="nil"/>
          <w:right w:val="nil"/>
          <w:between w:val="nil"/>
        </w:pBdr>
        <w:spacing w:before="10"/>
        <w:rPr>
          <w:rFonts w:ascii="Times New Roman" w:eastAsia="Times New Roman" w:hAnsi="Times New Roman" w:cs="Times New Roman"/>
          <w:color w:val="000000"/>
          <w:sz w:val="11"/>
          <w:szCs w:val="11"/>
        </w:rPr>
      </w:pPr>
    </w:p>
    <w:p w14:paraId="2B92F668" w14:textId="77777777" w:rsidR="00A92B53" w:rsidRDefault="00A92B53">
      <w:pPr>
        <w:pBdr>
          <w:top w:val="nil"/>
          <w:left w:val="nil"/>
          <w:bottom w:val="nil"/>
          <w:right w:val="nil"/>
          <w:between w:val="nil"/>
        </w:pBdr>
        <w:spacing w:before="4"/>
        <w:rPr>
          <w:rFonts w:ascii="Times New Roman" w:eastAsia="Times New Roman" w:hAnsi="Times New Roman" w:cs="Times New Roman"/>
          <w:color w:val="000000"/>
          <w:sz w:val="19"/>
          <w:szCs w:val="19"/>
        </w:rPr>
      </w:pPr>
    </w:p>
    <w:p w14:paraId="4003C18F" w14:textId="77777777" w:rsidR="00A92B53" w:rsidRDefault="00000000">
      <w:pPr>
        <w:pBdr>
          <w:top w:val="nil"/>
          <w:left w:val="nil"/>
          <w:bottom w:val="nil"/>
          <w:right w:val="nil"/>
          <w:between w:val="nil"/>
        </w:pBdr>
        <w:spacing w:before="90" w:line="276" w:lineRule="auto"/>
        <w:ind w:left="448" w:right="1009"/>
        <w:jc w:val="both"/>
        <w:rPr>
          <w:color w:val="000000"/>
          <w:sz w:val="20"/>
          <w:szCs w:val="20"/>
        </w:rPr>
      </w:pPr>
      <w:r>
        <w:rPr>
          <w:color w:val="000000"/>
          <w:sz w:val="20"/>
          <w:szCs w:val="20"/>
        </w:rPr>
        <w:t>position of amino acids versus score curve, in which the negative value/score implied lower hydrophobicity and the positive value indicated greater hydrophobicity, thereby indicative of transmembrane regions. ANCHOR (61) had been used to find out the binding sites present in the IDP regions of EBL protein. RAMPAGE (62) gave us the Ramachandran plots of EBL proteins of different Plasmodium species and showed their allowed region. structured portion) contains up to ~525 amino acids, U-2 contains around ~ 825 amino acids and the S-2 (last structured portion) is up to ~1050 amino acids and the rest amino acids up to ~1061 forms the short tail. Based on the studies, a representative schematic has been drawn of the primary structural organization of full length EBL of P. vivax (see Figure 1A) (the segments as indicated, though proportional, are not in scale).</w:t>
      </w:r>
    </w:p>
    <w:p w14:paraId="6B255341" w14:textId="77777777" w:rsidR="00A92B53" w:rsidRDefault="00A92B53">
      <w:pPr>
        <w:pBdr>
          <w:top w:val="nil"/>
          <w:left w:val="nil"/>
          <w:bottom w:val="nil"/>
          <w:right w:val="nil"/>
          <w:between w:val="nil"/>
        </w:pBdr>
        <w:spacing w:before="35"/>
        <w:rPr>
          <w:color w:val="000000"/>
          <w:sz w:val="20"/>
          <w:szCs w:val="20"/>
        </w:rPr>
      </w:pPr>
    </w:p>
    <w:p w14:paraId="11F7C952" w14:textId="77777777" w:rsidR="00A92B53" w:rsidRDefault="00000000">
      <w:pPr>
        <w:pBdr>
          <w:top w:val="nil"/>
          <w:left w:val="nil"/>
          <w:bottom w:val="nil"/>
          <w:right w:val="nil"/>
          <w:between w:val="nil"/>
        </w:pBdr>
        <w:spacing w:before="1" w:line="276" w:lineRule="auto"/>
        <w:ind w:left="448" w:right="1390" w:firstLine="720"/>
        <w:jc w:val="both"/>
        <w:rPr>
          <w:color w:val="000000"/>
          <w:sz w:val="20"/>
          <w:szCs w:val="20"/>
        </w:rPr>
      </w:pPr>
      <w:r>
        <w:rPr>
          <w:color w:val="000000"/>
          <w:sz w:val="20"/>
          <w:szCs w:val="20"/>
        </w:rPr>
        <w:t>The first structured portion, S-1 (200-525 amino acids) of P. vivax EBL forms a compact protein structure (PDB ID: 3RRC). It is concentrated on the unsolved U-2 and S- 2 regions.</w:t>
      </w:r>
    </w:p>
    <w:p w14:paraId="69F3070F" w14:textId="77777777" w:rsidR="00A92B53" w:rsidRDefault="00A92B53">
      <w:pPr>
        <w:pBdr>
          <w:top w:val="nil"/>
          <w:left w:val="nil"/>
          <w:bottom w:val="nil"/>
          <w:right w:val="nil"/>
          <w:between w:val="nil"/>
        </w:pBdr>
        <w:spacing w:before="37"/>
        <w:rPr>
          <w:color w:val="000000"/>
          <w:sz w:val="20"/>
          <w:szCs w:val="20"/>
        </w:rPr>
      </w:pPr>
    </w:p>
    <w:p w14:paraId="2B62B41A" w14:textId="77777777" w:rsidR="00A92B53" w:rsidRDefault="00000000">
      <w:pPr>
        <w:pStyle w:val="Heading2"/>
        <w:numPr>
          <w:ilvl w:val="1"/>
          <w:numId w:val="1"/>
        </w:numPr>
        <w:tabs>
          <w:tab w:val="left" w:pos="853"/>
        </w:tabs>
        <w:spacing w:line="276" w:lineRule="auto"/>
        <w:ind w:right="1396" w:firstLine="0"/>
      </w:pPr>
      <w:r>
        <w:t>Characterization of last unstructured or disordered region, U-2</w:t>
      </w:r>
    </w:p>
    <w:p w14:paraId="04A40145" w14:textId="77777777" w:rsidR="00A92B53" w:rsidRDefault="00A92B53">
      <w:pPr>
        <w:pBdr>
          <w:top w:val="nil"/>
          <w:left w:val="nil"/>
          <w:bottom w:val="nil"/>
          <w:right w:val="nil"/>
          <w:between w:val="nil"/>
        </w:pBdr>
        <w:spacing w:before="35"/>
        <w:rPr>
          <w:b/>
          <w:bCs/>
          <w:color w:val="000000"/>
          <w:sz w:val="20"/>
          <w:szCs w:val="20"/>
        </w:rPr>
      </w:pPr>
    </w:p>
    <w:p w14:paraId="22D173E8" w14:textId="77777777" w:rsidR="00A92B53" w:rsidRDefault="00000000">
      <w:pPr>
        <w:pBdr>
          <w:top w:val="nil"/>
          <w:left w:val="nil"/>
          <w:bottom w:val="nil"/>
          <w:right w:val="nil"/>
          <w:between w:val="nil"/>
        </w:pBdr>
        <w:spacing w:line="276" w:lineRule="auto"/>
        <w:ind w:left="448" w:right="953"/>
        <w:jc w:val="both"/>
        <w:rPr>
          <w:color w:val="000000"/>
          <w:sz w:val="20"/>
          <w:szCs w:val="20"/>
        </w:rPr>
      </w:pPr>
      <w:r>
        <w:rPr>
          <w:color w:val="000000"/>
          <w:sz w:val="20"/>
          <w:szCs w:val="20"/>
        </w:rPr>
        <w:t>Noticing that a massive part is actually unstructured raised a question as to what could have been the properties of these specific unstructured regions. This led us to study whether the unstructured regions can be intrinsically disordered (IDRs) or not and hence explore their salient features.</w:t>
      </w:r>
    </w:p>
    <w:p w14:paraId="58585BD4" w14:textId="77777777" w:rsidR="00A92B53" w:rsidRDefault="00A92B53">
      <w:pPr>
        <w:pBdr>
          <w:top w:val="nil"/>
          <w:left w:val="nil"/>
          <w:bottom w:val="nil"/>
          <w:right w:val="nil"/>
          <w:between w:val="nil"/>
        </w:pBdr>
        <w:spacing w:before="35"/>
        <w:ind w:right="953"/>
        <w:rPr>
          <w:color w:val="000000"/>
          <w:sz w:val="20"/>
          <w:szCs w:val="20"/>
        </w:rPr>
      </w:pPr>
    </w:p>
    <w:p w14:paraId="50C7B7F8" w14:textId="77777777" w:rsidR="00A92B53" w:rsidRDefault="00000000">
      <w:pPr>
        <w:pStyle w:val="Heading2"/>
        <w:numPr>
          <w:ilvl w:val="2"/>
          <w:numId w:val="1"/>
        </w:numPr>
        <w:tabs>
          <w:tab w:val="left" w:pos="1037"/>
        </w:tabs>
        <w:spacing w:line="276" w:lineRule="auto"/>
        <w:ind w:right="953" w:firstLine="0"/>
      </w:pPr>
      <w:r>
        <w:t>To identify and ascertain whether the claimed IDP regions actually are intrinsically disordered or not</w:t>
      </w:r>
    </w:p>
    <w:p w14:paraId="18E98AC6" w14:textId="77777777" w:rsidR="00A92B53" w:rsidRDefault="00000000">
      <w:pPr>
        <w:pBdr>
          <w:top w:val="nil"/>
          <w:left w:val="nil"/>
          <w:bottom w:val="nil"/>
          <w:right w:val="nil"/>
          <w:between w:val="nil"/>
        </w:pBdr>
        <w:spacing w:line="276" w:lineRule="auto"/>
        <w:ind w:left="448" w:right="953"/>
        <w:jc w:val="both"/>
        <w:rPr>
          <w:color w:val="000000"/>
          <w:sz w:val="20"/>
          <w:szCs w:val="20"/>
        </w:rPr>
      </w:pPr>
      <w:r>
        <w:rPr>
          <w:color w:val="000000"/>
          <w:sz w:val="20"/>
          <w:szCs w:val="20"/>
        </w:rPr>
        <w:t>For further affirmation and validation, four routes were taken.</w:t>
      </w:r>
    </w:p>
    <w:p w14:paraId="527D9410" w14:textId="77777777" w:rsidR="00A92B53" w:rsidRDefault="00A92B53">
      <w:pPr>
        <w:pBdr>
          <w:top w:val="nil"/>
          <w:left w:val="nil"/>
          <w:bottom w:val="nil"/>
          <w:right w:val="nil"/>
          <w:between w:val="nil"/>
        </w:pBdr>
        <w:spacing w:before="34"/>
        <w:ind w:right="953"/>
        <w:rPr>
          <w:color w:val="000000"/>
          <w:sz w:val="20"/>
          <w:szCs w:val="20"/>
        </w:rPr>
      </w:pPr>
    </w:p>
    <w:p w14:paraId="36A60440" w14:textId="77777777" w:rsidR="00A92B53" w:rsidRDefault="00000000">
      <w:pPr>
        <w:pStyle w:val="Heading2"/>
        <w:spacing w:before="1"/>
        <w:ind w:right="953" w:firstLine="448"/>
      </w:pPr>
      <w:r>
        <w:t>Presence of disorder</w:t>
      </w:r>
    </w:p>
    <w:p w14:paraId="19FDEE4F" w14:textId="77777777" w:rsidR="00A92B53" w:rsidRDefault="00000000">
      <w:pPr>
        <w:pBdr>
          <w:top w:val="nil"/>
          <w:left w:val="nil"/>
          <w:bottom w:val="nil"/>
          <w:right w:val="nil"/>
          <w:between w:val="nil"/>
        </w:pBdr>
        <w:spacing w:before="36" w:line="276" w:lineRule="auto"/>
        <w:ind w:left="448" w:right="953"/>
        <w:jc w:val="both"/>
        <w:rPr>
          <w:color w:val="000000"/>
          <w:sz w:val="20"/>
          <w:szCs w:val="20"/>
        </w:rPr>
      </w:pPr>
      <w:r>
        <w:rPr>
          <w:color w:val="000000"/>
          <w:sz w:val="20"/>
          <w:szCs w:val="20"/>
        </w:rPr>
        <w:t>Subjecting the sequences to PONDR and verifying it with the DISOPRED (PSIPRED series), softwares to identify not only the disordered regions in the EBL protein sequences  but  to  predict  the  secondary structure also, led us to believe that our suspect regarding the unstructured regions being Intrinsically Disordered may be actually true (Figure 1B and 1C). With the disordered percentage overall increasing more than 40%, a standard threshold considered in bioinformatics study to ensure whether the protein or peptide sequence under study has a classic intrinsic nature of disorder or not. More the value, (&gt;40%), more tends to be the disordered dynamics.</w:t>
      </w:r>
    </w:p>
    <w:p w14:paraId="3DAC051F" w14:textId="77777777" w:rsidR="00A92B53" w:rsidRDefault="00A92B53">
      <w:pPr>
        <w:pBdr>
          <w:top w:val="nil"/>
          <w:left w:val="nil"/>
          <w:bottom w:val="nil"/>
          <w:right w:val="nil"/>
          <w:between w:val="nil"/>
        </w:pBdr>
        <w:spacing w:before="34"/>
        <w:rPr>
          <w:color w:val="000000"/>
          <w:sz w:val="20"/>
          <w:szCs w:val="20"/>
        </w:rPr>
      </w:pPr>
    </w:p>
    <w:p w14:paraId="0B4D477D" w14:textId="77777777" w:rsidR="00A92B53" w:rsidRDefault="00000000">
      <w:pPr>
        <w:pStyle w:val="Heading2"/>
        <w:ind w:right="953" w:firstLine="448"/>
      </w:pPr>
      <w:r>
        <w:t>PEST motif identification</w:t>
      </w:r>
    </w:p>
    <w:p w14:paraId="2EBC35FE" w14:textId="77777777" w:rsidR="00A92B53" w:rsidRDefault="00000000">
      <w:pPr>
        <w:pBdr>
          <w:top w:val="nil"/>
          <w:left w:val="nil"/>
          <w:bottom w:val="nil"/>
          <w:right w:val="nil"/>
          <w:between w:val="nil"/>
        </w:pBdr>
        <w:spacing w:before="38" w:line="276" w:lineRule="auto"/>
        <w:ind w:left="448" w:right="953"/>
        <w:jc w:val="both"/>
        <w:rPr>
          <w:color w:val="000000"/>
          <w:sz w:val="20"/>
          <w:szCs w:val="20"/>
        </w:rPr>
      </w:pPr>
      <w:r>
        <w:rPr>
          <w:color w:val="000000"/>
          <w:sz w:val="20"/>
          <w:szCs w:val="20"/>
        </w:rPr>
        <w:t>The PEST motif usually is an identification marker for the commonly known motif present in EBL proteins of the Plasmodium sp. (known sequences) is presented (Figure 1D). The identification arker is representative of the fact that with increasing PEST motif or in other words, more abundance of the amino acids Proline (P), Glutamate (E), Serine (S) and Threonine (T), irrespective of them being in sequence or not helps to determine whether the propensity of a particular protein is to attain intrinsically disordered dynamics or not.</w:t>
      </w:r>
    </w:p>
    <w:p w14:paraId="057011DE" w14:textId="77777777" w:rsidR="00A92B53" w:rsidRDefault="00A92B53">
      <w:pPr>
        <w:pBdr>
          <w:top w:val="nil"/>
          <w:left w:val="nil"/>
          <w:bottom w:val="nil"/>
          <w:right w:val="nil"/>
          <w:between w:val="nil"/>
        </w:pBdr>
        <w:spacing w:before="36"/>
        <w:ind w:right="953"/>
        <w:rPr>
          <w:color w:val="000000"/>
          <w:sz w:val="20"/>
          <w:szCs w:val="20"/>
        </w:rPr>
      </w:pPr>
    </w:p>
    <w:p w14:paraId="376A14CA" w14:textId="77777777" w:rsidR="00A92B53" w:rsidRDefault="00A92B53">
      <w:pPr>
        <w:pBdr>
          <w:top w:val="nil"/>
          <w:left w:val="nil"/>
          <w:bottom w:val="nil"/>
          <w:right w:val="nil"/>
          <w:between w:val="nil"/>
        </w:pBdr>
        <w:spacing w:before="36"/>
        <w:ind w:right="953"/>
        <w:rPr>
          <w:color w:val="000000"/>
          <w:sz w:val="20"/>
          <w:szCs w:val="20"/>
        </w:rPr>
      </w:pPr>
    </w:p>
    <w:p w14:paraId="7BAC6A7D" w14:textId="77777777" w:rsidR="00A92B53" w:rsidRDefault="00A92B53">
      <w:pPr>
        <w:pBdr>
          <w:top w:val="nil"/>
          <w:left w:val="nil"/>
          <w:bottom w:val="nil"/>
          <w:right w:val="nil"/>
          <w:between w:val="nil"/>
        </w:pBdr>
        <w:spacing w:before="36"/>
        <w:ind w:right="953"/>
        <w:rPr>
          <w:color w:val="000000"/>
          <w:sz w:val="20"/>
          <w:szCs w:val="20"/>
        </w:rPr>
      </w:pPr>
    </w:p>
    <w:p w14:paraId="207E26D6" w14:textId="77777777" w:rsidR="00A92B53" w:rsidRDefault="00000000">
      <w:pPr>
        <w:pStyle w:val="Heading2"/>
        <w:ind w:right="953" w:firstLine="448"/>
      </w:pPr>
      <w:r>
        <w:lastRenderedPageBreak/>
        <w:t>Comparative graph analyses</w:t>
      </w:r>
    </w:p>
    <w:p w14:paraId="22A4A919" w14:textId="77777777" w:rsidR="00A92B53" w:rsidRDefault="00000000">
      <w:pPr>
        <w:pBdr>
          <w:top w:val="nil"/>
          <w:left w:val="nil"/>
          <w:bottom w:val="nil"/>
          <w:right w:val="nil"/>
          <w:between w:val="nil"/>
        </w:pBdr>
        <w:spacing w:before="34" w:line="276" w:lineRule="auto"/>
        <w:ind w:left="448" w:right="953" w:firstLine="42"/>
        <w:jc w:val="both"/>
        <w:rPr>
          <w:color w:val="000000"/>
          <w:sz w:val="20"/>
          <w:szCs w:val="20"/>
        </w:rPr>
      </w:pPr>
      <w:r>
        <w:rPr>
          <w:color w:val="000000"/>
          <w:sz w:val="20"/>
          <w:szCs w:val="20"/>
        </w:rPr>
        <w:t>A comparative plot as depicted in Figure 2 shows the similarity in the percentage of disorder in normally known IDPs (such as- Tau, P53 etc.) as well as the EBL proteins in our Plasmodium species under study (Figure 1E). With this graph, an analogy or rather a comparison has been done to check how similar this protein under consideration is, with respect to other known intrinsically disordered regions. The graph comparison clearly depicts that it is comparable that all the proteins in different known Plasmodium species shows striking similarity to that of the control proteins, known widely as intrinsically disordered.</w:t>
      </w:r>
    </w:p>
    <w:p w14:paraId="21F7F741" w14:textId="77777777" w:rsidR="00A92B53" w:rsidRDefault="00A92B53">
      <w:pPr>
        <w:pBdr>
          <w:top w:val="nil"/>
          <w:left w:val="nil"/>
          <w:bottom w:val="nil"/>
          <w:right w:val="nil"/>
          <w:between w:val="nil"/>
        </w:pBdr>
        <w:spacing w:before="35"/>
        <w:ind w:right="953"/>
        <w:rPr>
          <w:color w:val="000000"/>
          <w:sz w:val="20"/>
          <w:szCs w:val="20"/>
        </w:rPr>
      </w:pPr>
    </w:p>
    <w:p w14:paraId="40D543EB" w14:textId="77777777" w:rsidR="00A92B53" w:rsidRDefault="00000000">
      <w:pPr>
        <w:pStyle w:val="Heading2"/>
        <w:ind w:right="953" w:firstLine="448"/>
      </w:pPr>
      <w:r>
        <w:t>Ramachandran Plot</w:t>
      </w:r>
    </w:p>
    <w:p w14:paraId="509B56E7" w14:textId="77777777" w:rsidR="00A92B53" w:rsidRDefault="00000000">
      <w:pPr>
        <w:pBdr>
          <w:top w:val="nil"/>
          <w:left w:val="nil"/>
          <w:bottom w:val="nil"/>
          <w:right w:val="nil"/>
          <w:between w:val="nil"/>
        </w:pBdr>
        <w:spacing w:before="37" w:line="276" w:lineRule="auto"/>
        <w:ind w:left="448" w:right="953"/>
        <w:jc w:val="both"/>
        <w:rPr>
          <w:color w:val="000000"/>
          <w:sz w:val="20"/>
          <w:szCs w:val="20"/>
        </w:rPr>
      </w:pPr>
      <w:r>
        <w:rPr>
          <w:color w:val="000000"/>
          <w:sz w:val="20"/>
          <w:szCs w:val="20"/>
        </w:rPr>
        <w:t xml:space="preserve">The IDPs are rich in poly proline II motifs and they have their significant allowed regions in Ramachandran Plot for commonly known IDPs. Ramachandran plots for the unstructured regions, suspected as IDPs, were plotted and as shown in Figure 3, the allowed regions for the commonly known IDPs and our unstructured regions of the Plasmodium species under study are similar, reflecting on the fact that the unstructured regions, as suspected are genuinely Intrinsically Disordered. To generate the Ramachandran plots of EBL proteins and to demarcate their allowed regions, RAMPAGE was used (Figure 2a). </w:t>
      </w:r>
    </w:p>
    <w:p w14:paraId="7261AF29" w14:textId="77777777" w:rsidR="00A92B53" w:rsidRDefault="00A92B53">
      <w:pPr>
        <w:pBdr>
          <w:top w:val="nil"/>
          <w:left w:val="nil"/>
          <w:bottom w:val="nil"/>
          <w:right w:val="nil"/>
          <w:between w:val="nil"/>
        </w:pBdr>
        <w:spacing w:before="37" w:line="276" w:lineRule="auto"/>
        <w:ind w:left="448" w:right="953"/>
        <w:jc w:val="both"/>
        <w:rPr>
          <w:color w:val="000000"/>
          <w:sz w:val="20"/>
          <w:szCs w:val="20"/>
        </w:rPr>
      </w:pPr>
    </w:p>
    <w:p w14:paraId="2889B088" w14:textId="77777777" w:rsidR="00A92B53" w:rsidRDefault="00000000">
      <w:pPr>
        <w:pStyle w:val="Heading2"/>
        <w:numPr>
          <w:ilvl w:val="2"/>
          <w:numId w:val="1"/>
        </w:numPr>
        <w:tabs>
          <w:tab w:val="left" w:pos="998"/>
        </w:tabs>
        <w:spacing w:line="278" w:lineRule="auto"/>
        <w:ind w:right="953" w:firstLine="0"/>
      </w:pPr>
      <w:r>
        <w:t>Net charge of the amino acids presents in the U-2 region of EBL</w:t>
      </w:r>
    </w:p>
    <w:p w14:paraId="454615F7" w14:textId="77777777" w:rsidR="00A92B53" w:rsidRDefault="00000000">
      <w:pPr>
        <w:pBdr>
          <w:top w:val="nil"/>
          <w:left w:val="nil"/>
          <w:bottom w:val="nil"/>
          <w:right w:val="nil"/>
          <w:between w:val="nil"/>
        </w:pBdr>
        <w:spacing w:line="276" w:lineRule="auto"/>
        <w:ind w:left="448" w:right="953" w:firstLine="496"/>
        <w:jc w:val="both"/>
        <w:rPr>
          <w:color w:val="000000"/>
          <w:sz w:val="20"/>
          <w:szCs w:val="20"/>
        </w:rPr>
      </w:pPr>
      <w:r>
        <w:rPr>
          <w:color w:val="000000"/>
          <w:sz w:val="20"/>
          <w:szCs w:val="20"/>
        </w:rPr>
        <w:t>The net charge was measured and compared to have an idea of the condition of the protein in physiological condition and to reflect on its hydrophilicity/hydrophobicity. This gives an indirect idea as to whether the protein remains in a bound/compact state (if hydrophobic) or tend to remain in soluble/in free access regions of the solvent (if hydrophilic). A comparative study of the net charge (ProtCalC.sourceforge.net) of the total amino acid sequence in the EBL protein and the amino acids present in the U-2 region indicates that the net charge of the U-2 portion is bulkier and consisting of negatively charged amino acids i.e. more hydrophilic (less hydrophobicity) than that of total sequence (Table 5).</w:t>
      </w:r>
    </w:p>
    <w:p w14:paraId="2CC5864A" w14:textId="77777777" w:rsidR="00A92B53" w:rsidRDefault="00A92B53">
      <w:pPr>
        <w:pBdr>
          <w:top w:val="nil"/>
          <w:left w:val="nil"/>
          <w:bottom w:val="nil"/>
          <w:right w:val="nil"/>
          <w:between w:val="nil"/>
        </w:pBdr>
        <w:spacing w:before="31"/>
        <w:ind w:right="953"/>
        <w:rPr>
          <w:color w:val="000000"/>
          <w:sz w:val="20"/>
          <w:szCs w:val="20"/>
        </w:rPr>
      </w:pPr>
    </w:p>
    <w:p w14:paraId="30BD8B64" w14:textId="77777777" w:rsidR="00A92B53" w:rsidRDefault="00000000">
      <w:pPr>
        <w:pBdr>
          <w:top w:val="nil"/>
          <w:left w:val="nil"/>
          <w:bottom w:val="nil"/>
          <w:right w:val="nil"/>
          <w:between w:val="nil"/>
        </w:pBdr>
        <w:spacing w:line="276" w:lineRule="auto"/>
        <w:ind w:left="448" w:right="953" w:firstLine="480"/>
        <w:jc w:val="both"/>
        <w:rPr>
          <w:color w:val="000000"/>
          <w:sz w:val="20"/>
          <w:szCs w:val="20"/>
        </w:rPr>
      </w:pPr>
      <w:r>
        <w:rPr>
          <w:color w:val="000000"/>
          <w:sz w:val="20"/>
          <w:szCs w:val="20"/>
        </w:rPr>
        <w:t xml:space="preserve">Thus, as depicted, this less hydrophobicity of the U-2 region inhibits them to form a </w:t>
      </w:r>
      <w:r>
        <w:rPr>
          <w:rFonts w:ascii="Times New Roman" w:eastAsia="Times New Roman" w:hAnsi="Times New Roman" w:cs="Times New Roman"/>
          <w:color w:val="000009"/>
          <w:sz w:val="24"/>
          <w:szCs w:val="24"/>
        </w:rPr>
        <w:t xml:space="preserve">compact </w:t>
      </w:r>
      <w:r>
        <w:rPr>
          <w:color w:val="000000"/>
          <w:sz w:val="20"/>
          <w:szCs w:val="20"/>
        </w:rPr>
        <w:t>structure and in turn prevents to anchor properly with the membrane, it can be predicted that the reason behind them being unable to show trans-membranous or membrane-bound property.</w:t>
      </w:r>
    </w:p>
    <w:p w14:paraId="7299523E" w14:textId="77777777" w:rsidR="00A92B53" w:rsidRDefault="00A92B53">
      <w:pPr>
        <w:pBdr>
          <w:top w:val="nil"/>
          <w:left w:val="nil"/>
          <w:bottom w:val="nil"/>
          <w:right w:val="nil"/>
          <w:between w:val="nil"/>
        </w:pBdr>
        <w:spacing w:before="36"/>
        <w:ind w:right="953"/>
        <w:rPr>
          <w:color w:val="000000"/>
          <w:sz w:val="20"/>
          <w:szCs w:val="20"/>
        </w:rPr>
      </w:pPr>
    </w:p>
    <w:p w14:paraId="7EF50955" w14:textId="77777777" w:rsidR="00A92B53" w:rsidRDefault="00000000">
      <w:pPr>
        <w:pStyle w:val="Heading2"/>
        <w:numPr>
          <w:ilvl w:val="2"/>
          <w:numId w:val="1"/>
        </w:numPr>
        <w:tabs>
          <w:tab w:val="left" w:pos="984"/>
        </w:tabs>
        <w:ind w:left="984" w:right="953" w:hanging="536"/>
      </w:pPr>
      <w:r>
        <w:t>Hydropathy plot</w:t>
      </w:r>
    </w:p>
    <w:p w14:paraId="197408FA" w14:textId="77777777" w:rsidR="00A92B53" w:rsidRDefault="00000000">
      <w:pPr>
        <w:pBdr>
          <w:top w:val="nil"/>
          <w:left w:val="nil"/>
          <w:bottom w:val="nil"/>
          <w:right w:val="nil"/>
          <w:between w:val="nil"/>
        </w:pBdr>
        <w:spacing w:before="35" w:line="276" w:lineRule="auto"/>
        <w:ind w:left="448" w:right="953"/>
        <w:jc w:val="both"/>
        <w:rPr>
          <w:color w:val="000000"/>
          <w:sz w:val="20"/>
          <w:szCs w:val="20"/>
        </w:rPr>
      </w:pPr>
      <w:r>
        <w:rPr>
          <w:color w:val="000000"/>
          <w:sz w:val="20"/>
          <w:szCs w:val="20"/>
        </w:rPr>
        <w:t>Hydropathy plots are good markers for identifying the hydrophobicity/hydrophilicity of a protein, depending on the score projected in a particular method. Hydropathy plots were carried out by Kyte-Doolittle method, a process that is indicative of reflecting the hydropathy context of a protein depending on the particular window size. For individual U-2 regions of the EBL proteins of the Plasmodium species, the above point was validated, referring to its hydrophilicity, which is hence proved to be water soluble in nature (see Figure 2B).</w:t>
      </w:r>
    </w:p>
    <w:p w14:paraId="1389257B" w14:textId="77777777" w:rsidR="00A92B53" w:rsidRDefault="00A92B53">
      <w:pPr>
        <w:pBdr>
          <w:top w:val="nil"/>
          <w:left w:val="nil"/>
          <w:bottom w:val="nil"/>
          <w:right w:val="nil"/>
          <w:between w:val="nil"/>
        </w:pBdr>
        <w:ind w:left="1888"/>
        <w:rPr>
          <w:rFonts w:ascii="Times New Roman" w:eastAsia="Times New Roman" w:hAnsi="Times New Roman" w:cs="Times New Roman"/>
          <w:color w:val="000000"/>
          <w:sz w:val="20"/>
          <w:szCs w:val="20"/>
        </w:rPr>
      </w:pPr>
    </w:p>
    <w:p w14:paraId="0F6F9E2D" w14:textId="77777777" w:rsidR="00A92B53" w:rsidRDefault="00A92B53">
      <w:pPr>
        <w:pBdr>
          <w:top w:val="nil"/>
          <w:left w:val="nil"/>
          <w:bottom w:val="nil"/>
          <w:right w:val="nil"/>
          <w:between w:val="nil"/>
        </w:pBdr>
        <w:spacing w:before="48"/>
        <w:rPr>
          <w:rFonts w:ascii="Times New Roman" w:eastAsia="Times New Roman" w:hAnsi="Times New Roman" w:cs="Times New Roman"/>
          <w:color w:val="000000"/>
          <w:sz w:val="20"/>
          <w:szCs w:val="20"/>
        </w:rPr>
      </w:pPr>
    </w:p>
    <w:p w14:paraId="4813EA8E" w14:textId="77777777" w:rsidR="00A92B53" w:rsidRDefault="00000000">
      <w:pPr>
        <w:pBdr>
          <w:top w:val="nil"/>
          <w:left w:val="nil"/>
          <w:bottom w:val="nil"/>
          <w:right w:val="nil"/>
          <w:between w:val="nil"/>
        </w:pBdr>
        <w:spacing w:line="276" w:lineRule="auto"/>
        <w:ind w:left="448" w:right="1011"/>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9"/>
          <w:sz w:val="20"/>
          <w:szCs w:val="20"/>
        </w:rPr>
        <w:t xml:space="preserve">Figure 1: </w:t>
      </w:r>
      <w:r>
        <w:rPr>
          <w:rFonts w:ascii="Times New Roman" w:eastAsia="Times New Roman" w:hAnsi="Times New Roman" w:cs="Times New Roman"/>
          <w:color w:val="000009"/>
          <w:sz w:val="20"/>
          <w:szCs w:val="20"/>
        </w:rPr>
        <w:t>(A)Ramachandran Plot for U-2 region of P. vivax EBL indicates that U-2 is enriched in poly proline II motifs, signifying that U-2 is an Intrinsically Disordered Region (IDR). (B) Hydropathy Plot for the U-2 region of P. vivax EBL implies that U-2 is more hydrophilic (less hydrophobic) in nature.</w:t>
      </w:r>
    </w:p>
    <w:p w14:paraId="3F1A2AFE" w14:textId="77777777" w:rsidR="00A92B53" w:rsidRDefault="00A92B53">
      <w:pPr>
        <w:pBdr>
          <w:top w:val="nil"/>
          <w:left w:val="nil"/>
          <w:bottom w:val="nil"/>
          <w:right w:val="nil"/>
          <w:between w:val="nil"/>
        </w:pBdr>
        <w:rPr>
          <w:rFonts w:ascii="Times New Roman" w:eastAsia="Times New Roman" w:hAnsi="Times New Roman" w:cs="Times New Roman"/>
          <w:color w:val="000000"/>
          <w:sz w:val="20"/>
          <w:szCs w:val="20"/>
        </w:rPr>
      </w:pPr>
    </w:p>
    <w:p w14:paraId="69F03135" w14:textId="77777777" w:rsidR="00A92B53" w:rsidRDefault="00A92B53">
      <w:pPr>
        <w:pBdr>
          <w:top w:val="nil"/>
          <w:left w:val="nil"/>
          <w:bottom w:val="nil"/>
          <w:right w:val="nil"/>
          <w:between w:val="nil"/>
        </w:pBdr>
        <w:spacing w:before="34"/>
        <w:rPr>
          <w:rFonts w:ascii="Times New Roman" w:eastAsia="Times New Roman" w:hAnsi="Times New Roman" w:cs="Times New Roman"/>
          <w:color w:val="000000"/>
          <w:sz w:val="20"/>
          <w:szCs w:val="20"/>
        </w:rPr>
        <w:sectPr w:rsidR="00A92B53">
          <w:headerReference w:type="default" r:id="rId13"/>
          <w:footerReference w:type="default" r:id="rId14"/>
          <w:pgSz w:w="11910" w:h="16840"/>
          <w:pgMar w:top="1340" w:right="425" w:bottom="1060" w:left="992" w:header="722" w:footer="878" w:gutter="0"/>
          <w:cols w:space="720"/>
        </w:sectPr>
      </w:pPr>
    </w:p>
    <w:p w14:paraId="3E9C9D6A" w14:textId="77777777" w:rsidR="00A92B53" w:rsidRDefault="00000000">
      <w:pPr>
        <w:pStyle w:val="Heading2"/>
        <w:numPr>
          <w:ilvl w:val="2"/>
          <w:numId w:val="1"/>
        </w:numPr>
        <w:tabs>
          <w:tab w:val="left" w:pos="1080"/>
        </w:tabs>
        <w:spacing w:before="99" w:line="276" w:lineRule="auto"/>
        <w:ind w:right="953" w:firstLine="0"/>
      </w:pPr>
      <w:r>
        <w:lastRenderedPageBreak/>
        <w:t>Binding partner prediction of U-2 region</w:t>
      </w:r>
    </w:p>
    <w:p w14:paraId="194FB936" w14:textId="77777777" w:rsidR="00A92B53" w:rsidRDefault="00000000">
      <w:pPr>
        <w:pBdr>
          <w:top w:val="nil"/>
          <w:left w:val="nil"/>
          <w:bottom w:val="nil"/>
          <w:right w:val="nil"/>
          <w:between w:val="nil"/>
        </w:pBdr>
        <w:spacing w:line="276" w:lineRule="auto"/>
        <w:ind w:left="448" w:right="953"/>
        <w:jc w:val="both"/>
        <w:rPr>
          <w:color w:val="000000"/>
          <w:sz w:val="20"/>
          <w:szCs w:val="20"/>
        </w:rPr>
      </w:pPr>
      <w:r>
        <w:rPr>
          <w:color w:val="000000"/>
          <w:sz w:val="20"/>
          <w:szCs w:val="20"/>
        </w:rPr>
        <w:t>To find out in partial authenticity, the possible interacting mechanisms of the protein EBL, a software tool, ANCHOR, was used to find out the potential binding sites of the U-2 regions of the respective EBL proteins of each Plasmodium species. ANCHOR prediction of U-2 of P. vivax EBL thereby reveals the probable binding sites of the U-2 region (see Figure 3A).</w:t>
      </w:r>
    </w:p>
    <w:p w14:paraId="22810DF5" w14:textId="77777777" w:rsidR="00A92B53" w:rsidRDefault="00A92B53">
      <w:pPr>
        <w:pBdr>
          <w:top w:val="nil"/>
          <w:left w:val="nil"/>
          <w:bottom w:val="nil"/>
          <w:right w:val="nil"/>
          <w:between w:val="nil"/>
        </w:pBdr>
        <w:spacing w:before="36"/>
        <w:ind w:right="953"/>
        <w:jc w:val="both"/>
        <w:rPr>
          <w:color w:val="000000"/>
          <w:sz w:val="20"/>
          <w:szCs w:val="20"/>
        </w:rPr>
      </w:pPr>
    </w:p>
    <w:p w14:paraId="4C013277" w14:textId="77777777" w:rsidR="00A92B53" w:rsidRDefault="00000000">
      <w:pPr>
        <w:pStyle w:val="Heading2"/>
        <w:numPr>
          <w:ilvl w:val="2"/>
          <w:numId w:val="1"/>
        </w:numPr>
        <w:tabs>
          <w:tab w:val="left" w:pos="1015"/>
          <w:tab w:val="left" w:pos="1364"/>
          <w:tab w:val="left" w:pos="1954"/>
          <w:tab w:val="left" w:pos="3165"/>
          <w:tab w:val="left" w:pos="3587"/>
        </w:tabs>
        <w:spacing w:before="99" w:line="276" w:lineRule="auto"/>
        <w:ind w:right="953" w:firstLine="0"/>
      </w:pPr>
      <w:r>
        <w:t>Comparison between the U-2 regions of EBL protein of different Plasmodium species</w:t>
      </w:r>
      <w:r>
        <w:tab/>
        <w:t>and</w:t>
      </w:r>
      <w:r>
        <w:tab/>
        <w:t>prediction</w:t>
      </w:r>
      <w:r>
        <w:tab/>
        <w:t>of</w:t>
      </w:r>
      <w:r>
        <w:tab/>
        <w:t>conserved residues</w:t>
      </w:r>
    </w:p>
    <w:p w14:paraId="64F9DD7D" w14:textId="77777777" w:rsidR="00A92B53" w:rsidRDefault="00000000">
      <w:pPr>
        <w:pBdr>
          <w:top w:val="nil"/>
          <w:left w:val="nil"/>
          <w:bottom w:val="nil"/>
          <w:right w:val="nil"/>
          <w:between w:val="nil"/>
        </w:pBdr>
        <w:tabs>
          <w:tab w:val="left" w:pos="1642"/>
          <w:tab w:val="left" w:pos="2371"/>
          <w:tab w:val="left" w:pos="3446"/>
        </w:tabs>
        <w:spacing w:line="276" w:lineRule="auto"/>
        <w:ind w:left="448" w:right="953"/>
        <w:jc w:val="both"/>
        <w:rPr>
          <w:color w:val="000000"/>
          <w:sz w:val="20"/>
          <w:szCs w:val="20"/>
        </w:rPr>
      </w:pPr>
      <w:r>
        <w:rPr>
          <w:color w:val="000000"/>
          <w:sz w:val="20"/>
          <w:szCs w:val="20"/>
        </w:rPr>
        <w:t>The unstructured regions in proteins with intrinsically disordered nature may signify plasticity and</w:t>
      </w:r>
      <w:r>
        <w:rPr>
          <w:color w:val="000000"/>
          <w:sz w:val="20"/>
          <w:szCs w:val="20"/>
        </w:rPr>
        <w:tab/>
        <w:t>thereby</w:t>
      </w:r>
      <w:r>
        <w:rPr>
          <w:color w:val="000000"/>
          <w:sz w:val="20"/>
          <w:szCs w:val="20"/>
        </w:rPr>
        <w:tab/>
        <w:t>evolutionary competence. Thus, these unstructured regions are rich centers for extracting much more information on their evolutionary mechanism. Based on the sequences, a phylogenetic tree was constructed for the EBL proteins of the different Plasmodium species (see Figure 3B) and subsequently all those sequences were aligned on the basis of multiple sequence alignment in Clustal-W (see supplementary)</w:t>
      </w:r>
    </w:p>
    <w:p w14:paraId="60B2F194" w14:textId="77777777" w:rsidR="00A92B53" w:rsidRDefault="00A92B53">
      <w:pPr>
        <w:pBdr>
          <w:top w:val="nil"/>
          <w:left w:val="nil"/>
          <w:bottom w:val="nil"/>
          <w:right w:val="nil"/>
          <w:between w:val="nil"/>
        </w:pBdr>
        <w:tabs>
          <w:tab w:val="left" w:pos="1642"/>
          <w:tab w:val="left" w:pos="2371"/>
          <w:tab w:val="left" w:pos="3446"/>
        </w:tabs>
        <w:spacing w:line="276" w:lineRule="auto"/>
        <w:ind w:left="448" w:right="953"/>
        <w:jc w:val="both"/>
        <w:rPr>
          <w:color w:val="000000"/>
          <w:sz w:val="20"/>
          <w:szCs w:val="20"/>
        </w:rPr>
      </w:pPr>
    </w:p>
    <w:p w14:paraId="4BEAAD8E" w14:textId="77777777" w:rsidR="00A92B53" w:rsidRDefault="00A92B53">
      <w:pPr>
        <w:pBdr>
          <w:top w:val="nil"/>
          <w:left w:val="nil"/>
          <w:bottom w:val="nil"/>
          <w:right w:val="nil"/>
          <w:between w:val="nil"/>
        </w:pBdr>
        <w:tabs>
          <w:tab w:val="left" w:pos="1642"/>
          <w:tab w:val="left" w:pos="2371"/>
          <w:tab w:val="left" w:pos="3446"/>
        </w:tabs>
        <w:spacing w:line="276" w:lineRule="auto"/>
        <w:ind w:left="448" w:right="953"/>
        <w:jc w:val="both"/>
        <w:rPr>
          <w:color w:val="000000"/>
          <w:sz w:val="20"/>
          <w:szCs w:val="20"/>
        </w:rPr>
      </w:pPr>
    </w:p>
    <w:p w14:paraId="051104EB" w14:textId="77777777" w:rsidR="00A92B53" w:rsidRDefault="00000000">
      <w:pPr>
        <w:pBdr>
          <w:top w:val="nil"/>
          <w:left w:val="nil"/>
          <w:bottom w:val="nil"/>
          <w:right w:val="nil"/>
          <w:between w:val="nil"/>
        </w:pBdr>
        <w:spacing w:line="276" w:lineRule="auto"/>
        <w:ind w:left="448" w:right="953"/>
        <w:jc w:val="center"/>
        <w:rPr>
          <w:color w:val="000000"/>
          <w:sz w:val="20"/>
          <w:szCs w:val="20"/>
        </w:rPr>
      </w:pPr>
      <w:r>
        <w:rPr>
          <w:rFonts w:ascii="Times New Roman" w:eastAsia="Times New Roman" w:hAnsi="Times New Roman" w:cs="Times New Roman"/>
          <w:noProof/>
          <w:color w:val="000000"/>
          <w:sz w:val="24"/>
          <w:szCs w:val="24"/>
        </w:rPr>
        <w:drawing>
          <wp:inline distT="0" distB="0" distL="0" distR="0" wp14:anchorId="046A0A90" wp14:editId="7323DE3F">
            <wp:extent cx="2984838" cy="1020376"/>
            <wp:effectExtent l="0" t="0" r="0" b="0"/>
            <wp:docPr id="7" name="image1.png" descr="C:\Users\User\Desktop\ftg.JPG"/>
            <wp:cNvGraphicFramePr/>
            <a:graphic xmlns:a="http://schemas.openxmlformats.org/drawingml/2006/main">
              <a:graphicData uri="http://schemas.openxmlformats.org/drawingml/2006/picture">
                <pic:pic xmlns:pic="http://schemas.openxmlformats.org/drawingml/2006/picture">
                  <pic:nvPicPr>
                    <pic:cNvPr id="0" name="image1.png" descr="C:\Users\User\Desktop\ftg.JPG"/>
                    <pic:cNvPicPr preferRelativeResize="0"/>
                  </pic:nvPicPr>
                  <pic:blipFill>
                    <a:blip r:embed="rId15"/>
                    <a:srcRect/>
                    <a:stretch>
                      <a:fillRect/>
                    </a:stretch>
                  </pic:blipFill>
                  <pic:spPr>
                    <a:xfrm>
                      <a:off x="0" y="0"/>
                      <a:ext cx="2984838" cy="1020376"/>
                    </a:xfrm>
                    <a:prstGeom prst="rect">
                      <a:avLst/>
                    </a:prstGeom>
                    <a:ln/>
                  </pic:spPr>
                </pic:pic>
              </a:graphicData>
            </a:graphic>
          </wp:inline>
        </w:drawing>
      </w:r>
    </w:p>
    <w:p w14:paraId="78F66729" w14:textId="77777777" w:rsidR="00A92B53" w:rsidRDefault="00000000">
      <w:pPr>
        <w:pBdr>
          <w:top w:val="nil"/>
          <w:left w:val="nil"/>
          <w:bottom w:val="nil"/>
          <w:right w:val="nil"/>
          <w:between w:val="nil"/>
        </w:pBdr>
        <w:spacing w:line="276" w:lineRule="auto"/>
        <w:ind w:left="448" w:right="953"/>
        <w:jc w:val="both"/>
        <w:rPr>
          <w:color w:val="000000"/>
          <w:sz w:val="20"/>
          <w:szCs w:val="20"/>
        </w:rPr>
      </w:pPr>
      <w:r>
        <w:rPr>
          <w:color w:val="000000"/>
          <w:sz w:val="20"/>
          <w:szCs w:val="20"/>
        </w:rPr>
        <w:t xml:space="preserve">                                                               </w:t>
      </w:r>
      <w:r>
        <w:rPr>
          <w:b/>
          <w:bCs/>
          <w:color w:val="000000"/>
          <w:sz w:val="20"/>
          <w:szCs w:val="20"/>
        </w:rPr>
        <w:t>Figure 1:</w:t>
      </w:r>
      <w:r>
        <w:rPr>
          <w:color w:val="000000"/>
          <w:sz w:val="20"/>
          <w:szCs w:val="20"/>
        </w:rPr>
        <w:t xml:space="preserve"> Unde</w:t>
      </w:r>
    </w:p>
    <w:p w14:paraId="1FE08E27" w14:textId="77777777" w:rsidR="00A92B53" w:rsidRDefault="00000000">
      <w:pPr>
        <w:pBdr>
          <w:top w:val="nil"/>
          <w:left w:val="nil"/>
          <w:bottom w:val="nil"/>
          <w:right w:val="nil"/>
          <w:between w:val="nil"/>
        </w:pBdr>
        <w:spacing w:line="276" w:lineRule="auto"/>
        <w:ind w:left="448" w:right="953"/>
        <w:jc w:val="both"/>
        <w:rPr>
          <w:color w:val="000000"/>
          <w:sz w:val="20"/>
          <w:szCs w:val="20"/>
        </w:rPr>
      </w:pPr>
      <w:r>
        <w:rPr>
          <w:color w:val="000000"/>
          <w:sz w:val="20"/>
          <w:szCs w:val="20"/>
        </w:rPr>
        <w:t>rwater noise, spatial frequency</w:t>
      </w:r>
    </w:p>
    <w:p w14:paraId="04BA2432" w14:textId="77777777" w:rsidR="00A92B53" w:rsidRDefault="00A92B53">
      <w:pPr>
        <w:pBdr>
          <w:top w:val="nil"/>
          <w:left w:val="nil"/>
          <w:bottom w:val="nil"/>
          <w:right w:val="nil"/>
          <w:between w:val="nil"/>
        </w:pBdr>
        <w:spacing w:line="276" w:lineRule="auto"/>
        <w:ind w:left="448" w:right="953"/>
        <w:jc w:val="both"/>
        <w:rPr>
          <w:color w:val="000000"/>
          <w:sz w:val="20"/>
          <w:szCs w:val="20"/>
        </w:rPr>
      </w:pPr>
    </w:p>
    <w:p w14:paraId="740B4437" w14:textId="77777777" w:rsidR="00A92B53" w:rsidRDefault="00A92B53">
      <w:pPr>
        <w:pBdr>
          <w:top w:val="nil"/>
          <w:left w:val="nil"/>
          <w:bottom w:val="nil"/>
          <w:right w:val="nil"/>
          <w:between w:val="nil"/>
        </w:pBdr>
        <w:spacing w:line="276" w:lineRule="auto"/>
        <w:ind w:left="448" w:right="953"/>
        <w:jc w:val="both"/>
        <w:rPr>
          <w:color w:val="000000"/>
          <w:sz w:val="20"/>
          <w:szCs w:val="20"/>
        </w:rPr>
      </w:pPr>
    </w:p>
    <w:p w14:paraId="6F44D8B4" w14:textId="77777777" w:rsidR="00A92B53" w:rsidRDefault="00A92B53">
      <w:pPr>
        <w:pBdr>
          <w:top w:val="nil"/>
          <w:left w:val="nil"/>
          <w:bottom w:val="nil"/>
          <w:right w:val="nil"/>
          <w:between w:val="nil"/>
        </w:pBdr>
        <w:spacing w:line="276" w:lineRule="auto"/>
        <w:ind w:left="448" w:right="953"/>
        <w:jc w:val="both"/>
        <w:rPr>
          <w:rFonts w:ascii="Times New Roman" w:eastAsia="Times New Roman" w:hAnsi="Times New Roman" w:cs="Times New Roman"/>
          <w:color w:val="000000"/>
          <w:sz w:val="20"/>
          <w:szCs w:val="20"/>
        </w:rPr>
      </w:pPr>
    </w:p>
    <w:p w14:paraId="3F3A72CB" w14:textId="77777777" w:rsidR="00A92B53" w:rsidRPr="00696B33" w:rsidRDefault="00A92B53">
      <w:pPr>
        <w:pBdr>
          <w:top w:val="nil"/>
          <w:left w:val="nil"/>
          <w:bottom w:val="nil"/>
          <w:right w:val="nil"/>
          <w:between w:val="nil"/>
        </w:pBdr>
        <w:spacing w:before="35"/>
        <w:rPr>
          <w:color w:val="000000"/>
          <w:sz w:val="20"/>
          <w:szCs w:val="20"/>
        </w:rPr>
      </w:pPr>
    </w:p>
    <w:p w14:paraId="4052A3E6" w14:textId="77777777" w:rsidR="00A92B53" w:rsidRPr="00696B33" w:rsidRDefault="00000000">
      <w:pPr>
        <w:pStyle w:val="Heading1"/>
        <w:numPr>
          <w:ilvl w:val="0"/>
          <w:numId w:val="1"/>
        </w:numPr>
        <w:tabs>
          <w:tab w:val="left" w:pos="740"/>
        </w:tabs>
        <w:spacing w:before="1"/>
        <w:ind w:right="953" w:hanging="292"/>
        <w:rPr>
          <w:sz w:val="20"/>
          <w:szCs w:val="20"/>
        </w:rPr>
      </w:pPr>
      <w:r w:rsidRPr="00696B33">
        <w:rPr>
          <w:sz w:val="20"/>
          <w:szCs w:val="20"/>
        </w:rPr>
        <w:t>Funding</w:t>
      </w:r>
    </w:p>
    <w:p w14:paraId="3D667357" w14:textId="77777777" w:rsidR="00A92B53" w:rsidRDefault="00000000">
      <w:pPr>
        <w:pBdr>
          <w:top w:val="nil"/>
          <w:left w:val="nil"/>
          <w:bottom w:val="nil"/>
          <w:right w:val="nil"/>
          <w:between w:val="nil"/>
        </w:pBdr>
        <w:spacing w:before="50" w:line="276" w:lineRule="auto"/>
        <w:ind w:left="448" w:right="953"/>
        <w:jc w:val="both"/>
        <w:rPr>
          <w:color w:val="000000"/>
          <w:sz w:val="20"/>
          <w:szCs w:val="20"/>
        </w:rPr>
      </w:pPr>
      <w:r>
        <w:rPr>
          <w:color w:val="000000"/>
          <w:sz w:val="20"/>
          <w:szCs w:val="20"/>
        </w:rPr>
        <w:t>The authors have funding details such as facility and International Institute of Innovation and Technology for infrastructural support.</w:t>
      </w:r>
    </w:p>
    <w:p w14:paraId="1E63A0B5" w14:textId="77777777" w:rsidR="00A92B53" w:rsidRDefault="00A92B53">
      <w:pPr>
        <w:pBdr>
          <w:top w:val="nil"/>
          <w:left w:val="nil"/>
          <w:bottom w:val="nil"/>
          <w:right w:val="nil"/>
          <w:between w:val="nil"/>
        </w:pBdr>
        <w:spacing w:before="55"/>
        <w:ind w:right="953"/>
        <w:rPr>
          <w:color w:val="000000"/>
          <w:sz w:val="20"/>
          <w:szCs w:val="20"/>
        </w:rPr>
      </w:pPr>
    </w:p>
    <w:p w14:paraId="6F18F9E5" w14:textId="77777777" w:rsidR="00A92B53" w:rsidRPr="00696B33" w:rsidRDefault="00000000" w:rsidP="00696B33">
      <w:pPr>
        <w:pStyle w:val="Heading1"/>
        <w:numPr>
          <w:ilvl w:val="0"/>
          <w:numId w:val="1"/>
        </w:numPr>
        <w:tabs>
          <w:tab w:val="left" w:pos="740"/>
        </w:tabs>
        <w:spacing w:before="1"/>
        <w:ind w:right="953" w:hanging="292"/>
        <w:rPr>
          <w:sz w:val="20"/>
          <w:szCs w:val="20"/>
        </w:rPr>
      </w:pPr>
      <w:r w:rsidRPr="00696B33">
        <w:rPr>
          <w:sz w:val="20"/>
          <w:szCs w:val="20"/>
        </w:rPr>
        <w:t>Author contribution</w:t>
      </w:r>
    </w:p>
    <w:p w14:paraId="2C37C499" w14:textId="77777777" w:rsidR="00A92B53" w:rsidRDefault="00000000">
      <w:pPr>
        <w:pBdr>
          <w:top w:val="nil"/>
          <w:left w:val="nil"/>
          <w:bottom w:val="nil"/>
          <w:right w:val="nil"/>
          <w:between w:val="nil"/>
        </w:pBdr>
        <w:spacing w:before="103" w:line="276" w:lineRule="auto"/>
        <w:ind w:left="448" w:right="953"/>
        <w:jc w:val="both"/>
        <w:rPr>
          <w:color w:val="000000"/>
          <w:sz w:val="20"/>
          <w:szCs w:val="20"/>
        </w:rPr>
      </w:pPr>
      <w:r>
        <w:rPr>
          <w:color w:val="000000"/>
          <w:sz w:val="20"/>
          <w:szCs w:val="20"/>
        </w:rPr>
        <w:t>Experiments were designed by AA. Experiments were performed by AA. Experimental data were analyzed by AA. Manuscript was written by AA.</w:t>
      </w:r>
    </w:p>
    <w:p w14:paraId="727DE58A" w14:textId="77777777" w:rsidR="00A92B53" w:rsidRDefault="00A92B53">
      <w:pPr>
        <w:pBdr>
          <w:top w:val="nil"/>
          <w:left w:val="nil"/>
          <w:bottom w:val="nil"/>
          <w:right w:val="nil"/>
          <w:between w:val="nil"/>
        </w:pBdr>
        <w:spacing w:before="54"/>
        <w:ind w:right="953"/>
        <w:rPr>
          <w:color w:val="000000"/>
          <w:sz w:val="20"/>
          <w:szCs w:val="20"/>
        </w:rPr>
      </w:pPr>
    </w:p>
    <w:p w14:paraId="62DBD5AB" w14:textId="77777777" w:rsidR="00A92B53" w:rsidRPr="00696B33" w:rsidRDefault="00000000" w:rsidP="00696B33">
      <w:pPr>
        <w:pStyle w:val="Heading1"/>
        <w:numPr>
          <w:ilvl w:val="0"/>
          <w:numId w:val="1"/>
        </w:numPr>
        <w:tabs>
          <w:tab w:val="left" w:pos="740"/>
        </w:tabs>
        <w:spacing w:before="1"/>
        <w:ind w:right="953" w:hanging="292"/>
        <w:rPr>
          <w:sz w:val="20"/>
          <w:szCs w:val="20"/>
        </w:rPr>
      </w:pPr>
      <w:r w:rsidRPr="00696B33">
        <w:rPr>
          <w:sz w:val="20"/>
          <w:szCs w:val="20"/>
        </w:rPr>
        <w:t>Conflict of interest</w:t>
      </w:r>
    </w:p>
    <w:p w14:paraId="26A0E8C0" w14:textId="77777777" w:rsidR="00A92B53" w:rsidRDefault="00000000">
      <w:pPr>
        <w:pBdr>
          <w:top w:val="nil"/>
          <w:left w:val="nil"/>
          <w:bottom w:val="nil"/>
          <w:right w:val="nil"/>
          <w:between w:val="nil"/>
        </w:pBdr>
        <w:spacing w:before="51" w:line="278" w:lineRule="auto"/>
        <w:ind w:left="448" w:right="953"/>
        <w:jc w:val="both"/>
        <w:rPr>
          <w:color w:val="000000"/>
          <w:sz w:val="20"/>
          <w:szCs w:val="20"/>
        </w:rPr>
      </w:pPr>
      <w:r>
        <w:rPr>
          <w:color w:val="000000"/>
          <w:sz w:val="20"/>
          <w:szCs w:val="20"/>
        </w:rPr>
        <w:t>The author declares to have no conflicts of interest for the contents of this article.</w:t>
      </w:r>
    </w:p>
    <w:p w14:paraId="060DC93F" w14:textId="77777777" w:rsidR="00A92B53" w:rsidRDefault="00A92B53">
      <w:pPr>
        <w:pBdr>
          <w:top w:val="nil"/>
          <w:left w:val="nil"/>
          <w:bottom w:val="nil"/>
          <w:right w:val="nil"/>
          <w:between w:val="nil"/>
        </w:pBdr>
        <w:spacing w:before="143"/>
        <w:ind w:right="953"/>
        <w:rPr>
          <w:color w:val="000000"/>
          <w:sz w:val="20"/>
          <w:szCs w:val="20"/>
        </w:rPr>
      </w:pPr>
    </w:p>
    <w:p w14:paraId="59EE31E7" w14:textId="77777777" w:rsidR="00A92B53" w:rsidRPr="00696B33" w:rsidRDefault="00000000" w:rsidP="00696B33">
      <w:pPr>
        <w:pStyle w:val="Heading1"/>
        <w:numPr>
          <w:ilvl w:val="0"/>
          <w:numId w:val="1"/>
        </w:numPr>
        <w:tabs>
          <w:tab w:val="left" w:pos="740"/>
        </w:tabs>
        <w:spacing w:before="1"/>
        <w:ind w:right="953" w:hanging="292"/>
        <w:rPr>
          <w:sz w:val="20"/>
          <w:szCs w:val="20"/>
        </w:rPr>
      </w:pPr>
      <w:r w:rsidRPr="00696B33">
        <w:rPr>
          <w:sz w:val="20"/>
          <w:szCs w:val="20"/>
        </w:rPr>
        <w:t xml:space="preserve">Data Availability </w:t>
      </w:r>
    </w:p>
    <w:p w14:paraId="21FD57B7" w14:textId="77777777" w:rsidR="00A92B53" w:rsidRDefault="00000000">
      <w:pPr>
        <w:pBdr>
          <w:top w:val="nil"/>
          <w:left w:val="nil"/>
          <w:bottom w:val="nil"/>
          <w:right w:val="nil"/>
          <w:between w:val="nil"/>
        </w:pBdr>
        <w:ind w:left="448" w:right="953"/>
        <w:rPr>
          <w:color w:val="000000"/>
          <w:sz w:val="20"/>
          <w:szCs w:val="20"/>
        </w:rPr>
      </w:pPr>
      <w:r>
        <w:rPr>
          <w:color w:val="000000"/>
          <w:sz w:val="20"/>
          <w:szCs w:val="20"/>
        </w:rPr>
        <w:t xml:space="preserve">Data with the authors statements </w:t>
      </w:r>
    </w:p>
    <w:p w14:paraId="0F1AD76F" w14:textId="77777777" w:rsidR="00A92B53" w:rsidRDefault="00A92B53">
      <w:pPr>
        <w:pBdr>
          <w:top w:val="nil"/>
          <w:left w:val="nil"/>
          <w:bottom w:val="nil"/>
          <w:right w:val="nil"/>
          <w:between w:val="nil"/>
        </w:pBdr>
        <w:spacing w:before="69"/>
        <w:ind w:right="953"/>
        <w:rPr>
          <w:color w:val="000000"/>
          <w:sz w:val="20"/>
          <w:szCs w:val="20"/>
        </w:rPr>
      </w:pPr>
    </w:p>
    <w:p w14:paraId="13C76989" w14:textId="77777777" w:rsidR="00A92B53" w:rsidRDefault="00000000" w:rsidP="00696B33">
      <w:pPr>
        <w:pStyle w:val="Heading1"/>
        <w:numPr>
          <w:ilvl w:val="0"/>
          <w:numId w:val="1"/>
        </w:numPr>
        <w:tabs>
          <w:tab w:val="left" w:pos="740"/>
        </w:tabs>
        <w:spacing w:before="1"/>
        <w:ind w:right="953" w:hanging="292"/>
        <w:rPr>
          <w:sz w:val="24"/>
          <w:szCs w:val="24"/>
        </w:rPr>
      </w:pPr>
      <w:r>
        <w:rPr>
          <w:sz w:val="24"/>
          <w:szCs w:val="24"/>
        </w:rPr>
        <w:t>References Citation</w:t>
      </w:r>
    </w:p>
    <w:p w14:paraId="642866B0" w14:textId="77777777" w:rsidR="00A92B53" w:rsidRDefault="00000000">
      <w:pPr>
        <w:pStyle w:val="Heading1"/>
        <w:tabs>
          <w:tab w:val="left" w:pos="740"/>
        </w:tabs>
        <w:ind w:left="447" w:right="953" w:firstLine="0"/>
        <w:rPr>
          <w:b w:val="0"/>
          <w:bCs w:val="0"/>
          <w:sz w:val="20"/>
          <w:szCs w:val="20"/>
        </w:rPr>
      </w:pPr>
      <w:r>
        <w:rPr>
          <w:b w:val="0"/>
          <w:bCs w:val="0"/>
          <w:sz w:val="20"/>
          <w:szCs w:val="20"/>
        </w:rPr>
        <w:t>Citations within the text should be numbered and enclosed in square brackets. Examples include:</w:t>
      </w:r>
    </w:p>
    <w:p w14:paraId="7CF8576F" w14:textId="77777777" w:rsidR="00A92B53" w:rsidRDefault="00000000">
      <w:pPr>
        <w:pStyle w:val="Heading1"/>
        <w:tabs>
          <w:tab w:val="left" w:pos="740"/>
        </w:tabs>
        <w:ind w:right="953" w:firstLine="0"/>
        <w:rPr>
          <w:b w:val="0"/>
          <w:bCs w:val="0"/>
          <w:sz w:val="20"/>
          <w:szCs w:val="20"/>
        </w:rPr>
      </w:pPr>
      <w:r>
        <w:rPr>
          <w:b w:val="0"/>
          <w:bCs w:val="0"/>
          <w:sz w:val="20"/>
          <w:szCs w:val="20"/>
        </w:rPr>
        <w:t>Research on impact news covers various multi-disciplines [3].</w:t>
      </w:r>
    </w:p>
    <w:p w14:paraId="5E3F33EF" w14:textId="77777777" w:rsidR="00A92B53" w:rsidRDefault="00000000">
      <w:pPr>
        <w:pStyle w:val="Heading1"/>
        <w:tabs>
          <w:tab w:val="left" w:pos="740"/>
        </w:tabs>
        <w:ind w:right="953" w:firstLine="0"/>
        <w:rPr>
          <w:b w:val="0"/>
          <w:bCs w:val="0"/>
          <w:sz w:val="20"/>
          <w:szCs w:val="20"/>
        </w:rPr>
      </w:pPr>
      <w:r>
        <w:rPr>
          <w:b w:val="0"/>
          <w:bCs w:val="0"/>
          <w:sz w:val="20"/>
          <w:szCs w:val="20"/>
        </w:rPr>
        <w:t>This effort should be extensively examined carefully [1-3, 7].</w:t>
      </w:r>
    </w:p>
    <w:p w14:paraId="39B84658" w14:textId="77777777" w:rsidR="00A92B53" w:rsidRDefault="00A92B53">
      <w:pPr>
        <w:pBdr>
          <w:top w:val="nil"/>
          <w:left w:val="nil"/>
          <w:bottom w:val="nil"/>
          <w:right w:val="nil"/>
          <w:between w:val="nil"/>
        </w:pBdr>
        <w:spacing w:before="51"/>
        <w:ind w:right="953"/>
        <w:rPr>
          <w:color w:val="000000"/>
          <w:sz w:val="20"/>
          <w:szCs w:val="20"/>
        </w:rPr>
      </w:pPr>
    </w:p>
    <w:p w14:paraId="6D6F74BC" w14:textId="77777777" w:rsidR="00A92B53" w:rsidRDefault="00A92B53">
      <w:pPr>
        <w:pBdr>
          <w:top w:val="nil"/>
          <w:left w:val="nil"/>
          <w:bottom w:val="nil"/>
          <w:right w:val="nil"/>
          <w:between w:val="nil"/>
        </w:pBdr>
        <w:spacing w:before="69"/>
        <w:ind w:right="953"/>
        <w:rPr>
          <w:color w:val="000000"/>
          <w:sz w:val="20"/>
          <w:szCs w:val="20"/>
        </w:rPr>
      </w:pPr>
    </w:p>
    <w:p w14:paraId="67DE372C" w14:textId="77777777" w:rsidR="00A92B53" w:rsidRDefault="00000000">
      <w:pPr>
        <w:numPr>
          <w:ilvl w:val="0"/>
          <w:numId w:val="1"/>
        </w:numPr>
        <w:jc w:val="both"/>
        <w:rPr>
          <w:b/>
          <w:bCs/>
        </w:rPr>
      </w:pPr>
      <w:r>
        <w:rPr>
          <w:sz w:val="24"/>
          <w:szCs w:val="24"/>
        </w:rPr>
        <w:t xml:space="preserve">References </w:t>
      </w:r>
      <w:r>
        <w:rPr>
          <w:b/>
          <w:bCs/>
        </w:rPr>
        <w:t>(</w:t>
      </w:r>
      <w:r>
        <w:t>Cambria, size:12, bold</w:t>
      </w:r>
      <w:r>
        <w:rPr>
          <w:b/>
          <w:bCs/>
        </w:rPr>
        <w:t>)</w:t>
      </w:r>
    </w:p>
    <w:p w14:paraId="52F77BF5" w14:textId="77777777" w:rsidR="00A92B53" w:rsidRDefault="00A92B53">
      <w:pPr>
        <w:pStyle w:val="Heading1"/>
        <w:tabs>
          <w:tab w:val="left" w:pos="904"/>
        </w:tabs>
        <w:ind w:right="953"/>
        <w:rPr>
          <w:sz w:val="24"/>
          <w:szCs w:val="24"/>
        </w:rPr>
      </w:pPr>
    </w:p>
    <w:p w14:paraId="7B5B5232" w14:textId="77777777" w:rsidR="00A92B53" w:rsidRDefault="00000000">
      <w:pPr>
        <w:spacing w:after="160" w:line="278" w:lineRule="auto"/>
        <w:ind w:left="740"/>
        <w:jc w:val="both"/>
      </w:pPr>
      <w:r>
        <w:rPr>
          <w:b/>
          <w:bCs/>
        </w:rPr>
        <w:t xml:space="preserve">  Journal article</w:t>
      </w:r>
    </w:p>
    <w:p w14:paraId="796D5374" w14:textId="77777777" w:rsidR="00A92B53" w:rsidRDefault="00000000">
      <w:pPr>
        <w:numPr>
          <w:ilvl w:val="0"/>
          <w:numId w:val="1"/>
        </w:numPr>
        <w:spacing w:after="160" w:line="278" w:lineRule="auto"/>
        <w:ind w:right="953"/>
        <w:jc w:val="both"/>
        <w:rPr>
          <w:sz w:val="18"/>
          <w:szCs w:val="18"/>
        </w:rPr>
      </w:pPr>
      <w:r>
        <w:rPr>
          <w:sz w:val="18"/>
          <w:szCs w:val="18"/>
        </w:rPr>
        <w:lastRenderedPageBreak/>
        <w:t>Ashok, P., Latha, B. Absorption of echo signal for underwater acoustic signal target system using hybrid of ensemble empirical mode with machine learning techniques. Multimed Tools Appl (2023). volume, issue, page no. https://doi.org/10.1007/s11042-023-15543-2</w:t>
      </w:r>
    </w:p>
    <w:p w14:paraId="72277CC1" w14:textId="77777777" w:rsidR="00A92B53" w:rsidRDefault="00000000">
      <w:pPr>
        <w:numPr>
          <w:ilvl w:val="0"/>
          <w:numId w:val="1"/>
        </w:numPr>
        <w:spacing w:after="160" w:line="278" w:lineRule="auto"/>
        <w:ind w:right="953"/>
        <w:jc w:val="both"/>
      </w:pPr>
      <w:r>
        <w:rPr>
          <w:b/>
          <w:bCs/>
        </w:rPr>
        <w:t>2. Article by DOI</w:t>
      </w:r>
    </w:p>
    <w:p w14:paraId="6FE9DC71" w14:textId="77777777" w:rsidR="00A92B53" w:rsidRDefault="00000000">
      <w:pPr>
        <w:numPr>
          <w:ilvl w:val="0"/>
          <w:numId w:val="1"/>
        </w:numPr>
        <w:spacing w:after="160" w:line="278" w:lineRule="auto"/>
        <w:ind w:right="953"/>
        <w:jc w:val="both"/>
        <w:rPr>
          <w:sz w:val="18"/>
          <w:szCs w:val="18"/>
        </w:rPr>
      </w:pPr>
      <w:r>
        <w:rPr>
          <w:sz w:val="18"/>
          <w:szCs w:val="18"/>
        </w:rPr>
        <w:t>Ashok, P., Latha, B. Absorption of echo signal for underwater acoustic signal target system using hybrid of ensemble empirical mode with machine learning techniques. Journal of Intelligent Machine Learning and IoT Enabled Applications (2000). https://doi.org/10.102107/00086</w:t>
      </w:r>
    </w:p>
    <w:p w14:paraId="79BABD47" w14:textId="77777777" w:rsidR="00A92B53" w:rsidRDefault="00000000">
      <w:pPr>
        <w:numPr>
          <w:ilvl w:val="0"/>
          <w:numId w:val="1"/>
        </w:numPr>
        <w:spacing w:after="160" w:line="278" w:lineRule="auto"/>
        <w:ind w:right="953"/>
        <w:jc w:val="both"/>
      </w:pPr>
      <w:r>
        <w:rPr>
          <w:b/>
          <w:bCs/>
        </w:rPr>
        <w:t>3. Online document</w:t>
      </w:r>
    </w:p>
    <w:p w14:paraId="0BFC5218" w14:textId="77777777" w:rsidR="00A92B53" w:rsidRDefault="00000000">
      <w:pPr>
        <w:numPr>
          <w:ilvl w:val="0"/>
          <w:numId w:val="1"/>
        </w:numPr>
        <w:spacing w:after="160" w:line="278" w:lineRule="auto"/>
        <w:ind w:right="953"/>
        <w:jc w:val="both"/>
        <w:rPr>
          <w:sz w:val="18"/>
          <w:szCs w:val="18"/>
        </w:rPr>
      </w:pPr>
      <w:r>
        <w:rPr>
          <w:sz w:val="18"/>
          <w:szCs w:val="18"/>
        </w:rPr>
        <w:t>Carriages, Ashok.P.,  Big stars have weather too (2007). IOSSP Publishing house. http://publishingwebs.org/articles/news/12/3/15/1. Accessed 26 June 2010</w:t>
      </w:r>
    </w:p>
    <w:p w14:paraId="69E61B96" w14:textId="77777777" w:rsidR="00A92B53" w:rsidRDefault="00A92B53">
      <w:pPr>
        <w:pBdr>
          <w:top w:val="nil"/>
          <w:left w:val="nil"/>
          <w:bottom w:val="nil"/>
          <w:right w:val="nil"/>
          <w:between w:val="nil"/>
        </w:pBdr>
        <w:spacing w:before="6"/>
        <w:ind w:right="953"/>
        <w:rPr>
          <w:color w:val="000000"/>
          <w:sz w:val="18"/>
          <w:szCs w:val="18"/>
        </w:rPr>
      </w:pPr>
    </w:p>
    <w:sectPr w:rsidR="00A92B53">
      <w:headerReference w:type="default" r:id="rId16"/>
      <w:footerReference w:type="default" r:id="rId17"/>
      <w:pgSz w:w="11910" w:h="16840"/>
      <w:pgMar w:top="1340" w:right="425" w:bottom="1060" w:left="992" w:header="866" w:footer="8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40A8A" w14:textId="77777777" w:rsidR="00A50E1E" w:rsidRDefault="00A50E1E">
      <w:r>
        <w:separator/>
      </w:r>
    </w:p>
  </w:endnote>
  <w:endnote w:type="continuationSeparator" w:id="0">
    <w:p w14:paraId="2BFD4995" w14:textId="77777777" w:rsidR="00A50E1E" w:rsidRDefault="00A50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7816E095-B50D-48E4-8DA2-65A5AFB57E09}"/>
    <w:embedBold r:id="rId2" w:fontKey="{87C3829B-D606-48C3-B797-2742157271D3}"/>
    <w:embedItalic r:id="rId3" w:fontKey="{B93BD1B2-E4C0-46C2-95BF-11F0CE3772F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85A90977-3404-46C4-9FD5-98240DBDEBDA}"/>
    <w:embedItalic r:id="rId5" w:fontKey="{A877C3A1-6F56-43A7-9B4E-66FA4A30C30B}"/>
  </w:font>
  <w:font w:name="New York">
    <w:panose1 w:val="02040503060506020304"/>
    <w:charset w:val="00"/>
    <w:family w:val="auto"/>
    <w:pitch w:val="default"/>
  </w:font>
  <w:font w:name="Calibri">
    <w:panose1 w:val="020F0502020204030204"/>
    <w:charset w:val="00"/>
    <w:family w:val="swiss"/>
    <w:pitch w:val="variable"/>
    <w:sig w:usb0="E4002EFF" w:usb1="C200247B" w:usb2="00000009" w:usb3="00000000" w:csb0="000001FF" w:csb1="00000000"/>
    <w:embedRegular r:id="rId6" w:fontKey="{282D3948-1018-4AD4-AE3B-ED9FC978E2AC}"/>
  </w:font>
  <w:font w:name="Latha">
    <w:panose1 w:val="02000400000000000000"/>
    <w:charset w:val="00"/>
    <w:family w:val="swiss"/>
    <w:pitch w:val="variable"/>
    <w:sig w:usb0="00100003" w:usb1="00000000" w:usb2="00000000" w:usb3="00000000" w:csb0="00000001" w:csb1="00000000"/>
    <w:embedRegular r:id="rId7" w:fontKey="{7C48B366-1F53-458E-BA80-473166E264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AFBB5" w14:textId="77777777" w:rsidR="00A92B53" w:rsidRDefault="00A92B53">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57589" w14:textId="77777777" w:rsidR="00A92B53"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9264" behindDoc="1" locked="0" layoutInCell="1" hidden="0" allowOverlap="1" wp14:anchorId="1EED8AD6" wp14:editId="19F4020B">
              <wp:simplePos x="0" y="0"/>
              <wp:positionH relativeFrom="column">
                <wp:posOffset>1596581</wp:posOffset>
              </wp:positionH>
              <wp:positionV relativeFrom="paragraph">
                <wp:posOffset>9990672</wp:posOffset>
              </wp:positionV>
              <wp:extent cx="3794760" cy="190500"/>
              <wp:effectExtent l="0" t="0" r="0" b="0"/>
              <wp:wrapNone/>
              <wp:docPr id="5" name="Rectangle 5"/>
              <wp:cNvGraphicFramePr/>
              <a:graphic xmlns:a="http://schemas.openxmlformats.org/drawingml/2006/main">
                <a:graphicData uri="http://schemas.microsoft.com/office/word/2010/wordprocessingShape">
                  <wps:wsp>
                    <wps:cNvSpPr/>
                    <wps:spPr>
                      <a:xfrm>
                        <a:off x="3453383" y="3689513"/>
                        <a:ext cx="3785235" cy="180975"/>
                      </a:xfrm>
                      <a:prstGeom prst="rect">
                        <a:avLst/>
                      </a:prstGeom>
                      <a:noFill/>
                      <a:ln>
                        <a:noFill/>
                      </a:ln>
                    </wps:spPr>
                    <wps:txbx>
                      <w:txbxContent>
                        <w:p w14:paraId="22476D38" w14:textId="77777777" w:rsidR="00A92B53" w:rsidRDefault="00000000">
                          <w:pPr>
                            <w:spacing w:before="11"/>
                            <w:ind w:left="20" w:firstLine="20"/>
                            <w:textDirection w:val="btLr"/>
                          </w:pPr>
                          <w:r>
                            <w:rPr>
                              <w:b/>
                              <w:color w:val="000000"/>
                              <w:sz w:val="18"/>
                            </w:rPr>
                            <w:t>Journal of Intelligent Machine Learning and IoT Enabled Applications</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1596581</wp:posOffset>
              </wp:positionH>
              <wp:positionV relativeFrom="paragraph">
                <wp:posOffset>9990672</wp:posOffset>
              </wp:positionV>
              <wp:extent cx="3794760" cy="190500"/>
              <wp:effectExtent b="0" l="0" r="0" t="0"/>
              <wp:wrapNone/>
              <wp:docPr id="5"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3794760" cy="19050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F163A" w14:textId="77777777" w:rsidR="00A92B53"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61312" behindDoc="1" locked="0" layoutInCell="1" hidden="0" allowOverlap="1" wp14:anchorId="3474A849" wp14:editId="7A68C984">
              <wp:simplePos x="0" y="0"/>
              <wp:positionH relativeFrom="column">
                <wp:posOffset>1599635</wp:posOffset>
              </wp:positionH>
              <wp:positionV relativeFrom="paragraph">
                <wp:posOffset>9990028</wp:posOffset>
              </wp:positionV>
              <wp:extent cx="4335034" cy="190500"/>
              <wp:effectExtent l="0" t="0" r="0" b="0"/>
              <wp:wrapNone/>
              <wp:docPr id="3" name="Rectangle 3"/>
              <wp:cNvGraphicFramePr/>
              <a:graphic xmlns:a="http://schemas.openxmlformats.org/drawingml/2006/main">
                <a:graphicData uri="http://schemas.microsoft.com/office/word/2010/wordprocessingShape">
                  <wps:wsp>
                    <wps:cNvSpPr/>
                    <wps:spPr>
                      <a:xfrm>
                        <a:off x="3183246" y="3689513"/>
                        <a:ext cx="4325509" cy="180975"/>
                      </a:xfrm>
                      <a:prstGeom prst="rect">
                        <a:avLst/>
                      </a:prstGeom>
                      <a:noFill/>
                      <a:ln>
                        <a:noFill/>
                      </a:ln>
                    </wps:spPr>
                    <wps:txbx>
                      <w:txbxContent>
                        <w:p w14:paraId="73D76B7F" w14:textId="77777777" w:rsidR="00A92B53" w:rsidRDefault="00000000">
                          <w:pPr>
                            <w:spacing w:before="11"/>
                            <w:ind w:left="20" w:firstLine="20"/>
                            <w:textDirection w:val="btLr"/>
                          </w:pPr>
                          <w:r>
                            <w:rPr>
                              <w:b/>
                              <w:color w:val="000000"/>
                              <w:sz w:val="18"/>
                            </w:rPr>
                            <w:t>Journal of Intelligent Machine Learning and IoT Enabled Applications(JIML-IEA)</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1599635</wp:posOffset>
              </wp:positionH>
              <wp:positionV relativeFrom="paragraph">
                <wp:posOffset>9990028</wp:posOffset>
              </wp:positionV>
              <wp:extent cx="4335034" cy="190500"/>
              <wp:effectExtent b="0" l="0" r="0" t="0"/>
              <wp:wrapNone/>
              <wp:docPr id="3"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4335034" cy="190500"/>
                      </a:xfrm>
                      <a:prstGeom prst="rect"/>
                      <a:ln/>
                    </pic:spPr>
                  </pic:pic>
                </a:graphicData>
              </a:graphic>
            </wp:anchor>
          </w:drawing>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ADB1A" w14:textId="77777777" w:rsidR="00A92B53" w:rsidRDefault="00A92B53">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AE7EE3" w14:textId="77777777" w:rsidR="00A50E1E" w:rsidRDefault="00A50E1E">
      <w:r>
        <w:separator/>
      </w:r>
    </w:p>
  </w:footnote>
  <w:footnote w:type="continuationSeparator" w:id="0">
    <w:p w14:paraId="0B5415F4" w14:textId="77777777" w:rsidR="00A50E1E" w:rsidRDefault="00A50E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BABC1" w14:textId="77777777" w:rsidR="00A92B53" w:rsidRDefault="00000000">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658240" behindDoc="1" locked="0" layoutInCell="1" hidden="0" allowOverlap="1" wp14:anchorId="344E5EBC" wp14:editId="3D952D09">
              <wp:simplePos x="0" y="0"/>
              <wp:positionH relativeFrom="page">
                <wp:posOffset>5903023</wp:posOffset>
              </wp:positionH>
              <wp:positionV relativeFrom="page">
                <wp:posOffset>441218</wp:posOffset>
              </wp:positionV>
              <wp:extent cx="760730" cy="165100"/>
              <wp:effectExtent l="0" t="0" r="0" b="0"/>
              <wp:wrapNone/>
              <wp:docPr id="6" name="Rectangle 6"/>
              <wp:cNvGraphicFramePr/>
              <a:graphic xmlns:a="http://schemas.openxmlformats.org/drawingml/2006/main">
                <a:graphicData uri="http://schemas.microsoft.com/office/word/2010/wordprocessingShape">
                  <wps:wsp>
                    <wps:cNvSpPr/>
                    <wps:spPr>
                      <a:xfrm>
                        <a:off x="4970398" y="3702213"/>
                        <a:ext cx="751205" cy="155575"/>
                      </a:xfrm>
                      <a:prstGeom prst="rect">
                        <a:avLst/>
                      </a:prstGeom>
                      <a:noFill/>
                      <a:ln>
                        <a:noFill/>
                      </a:ln>
                    </wps:spPr>
                    <wps:txbx>
                      <w:txbxContent>
                        <w:p w14:paraId="4B383F78" w14:textId="77777777" w:rsidR="00A92B53" w:rsidRDefault="00000000">
                          <w:pPr>
                            <w:spacing w:before="12"/>
                            <w:ind w:left="20" w:firstLine="20"/>
                            <w:textDirection w:val="btLr"/>
                          </w:pPr>
                          <w:r>
                            <w:rPr>
                              <w:rFonts w:ascii="Georgia" w:eastAsia="Georgia" w:hAnsi="Georgia" w:cs="Georgia"/>
                              <w:color w:val="000009"/>
                              <w:sz w:val="18"/>
                            </w:rPr>
                            <w:t>Original Article</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5903023</wp:posOffset>
              </wp:positionH>
              <wp:positionV relativeFrom="page">
                <wp:posOffset>441218</wp:posOffset>
              </wp:positionV>
              <wp:extent cx="760730" cy="165100"/>
              <wp:effectExtent b="0" l="0" r="0" t="0"/>
              <wp:wrapNone/>
              <wp:docPr id="6"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760730" cy="1651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E35A8" w14:textId="77777777" w:rsidR="00A92B53" w:rsidRDefault="00000000">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660288" behindDoc="1" locked="0" layoutInCell="1" hidden="0" allowOverlap="1" wp14:anchorId="40FF32B8" wp14:editId="194984B4">
              <wp:simplePos x="0" y="0"/>
              <wp:positionH relativeFrom="page">
                <wp:posOffset>5903023</wp:posOffset>
              </wp:positionH>
              <wp:positionV relativeFrom="page">
                <wp:posOffset>441218</wp:posOffset>
              </wp:positionV>
              <wp:extent cx="760730" cy="165100"/>
              <wp:effectExtent l="0" t="0" r="0" b="0"/>
              <wp:wrapNone/>
              <wp:docPr id="1" name="Rectangle 1"/>
              <wp:cNvGraphicFramePr/>
              <a:graphic xmlns:a="http://schemas.openxmlformats.org/drawingml/2006/main">
                <a:graphicData uri="http://schemas.microsoft.com/office/word/2010/wordprocessingShape">
                  <wps:wsp>
                    <wps:cNvSpPr/>
                    <wps:spPr>
                      <a:xfrm>
                        <a:off x="4970398" y="3702213"/>
                        <a:ext cx="751205" cy="155575"/>
                      </a:xfrm>
                      <a:prstGeom prst="rect">
                        <a:avLst/>
                      </a:prstGeom>
                      <a:noFill/>
                      <a:ln>
                        <a:noFill/>
                      </a:ln>
                    </wps:spPr>
                    <wps:txbx>
                      <w:txbxContent>
                        <w:p w14:paraId="0E3A1E08" w14:textId="77777777" w:rsidR="00A92B53" w:rsidRDefault="00000000">
                          <w:pPr>
                            <w:spacing w:before="12"/>
                            <w:ind w:left="20" w:firstLine="20"/>
                            <w:textDirection w:val="btLr"/>
                          </w:pPr>
                          <w:r>
                            <w:rPr>
                              <w:rFonts w:ascii="Georgia" w:eastAsia="Georgia" w:hAnsi="Georgia" w:cs="Georgia"/>
                              <w:color w:val="000009"/>
                              <w:sz w:val="18"/>
                            </w:rPr>
                            <w:t>Original Article</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5903023</wp:posOffset>
              </wp:positionH>
              <wp:positionV relativeFrom="page">
                <wp:posOffset>441218</wp:posOffset>
              </wp:positionV>
              <wp:extent cx="760730" cy="165100"/>
              <wp:effectExtent b="0" l="0" r="0" t="0"/>
              <wp:wrapNone/>
              <wp:docPr id="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760730" cy="16510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40632" w14:textId="77777777" w:rsidR="00A92B53" w:rsidRDefault="00000000">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662336" behindDoc="1" locked="0" layoutInCell="1" hidden="0" allowOverlap="1" wp14:anchorId="2107B45B" wp14:editId="3F9ED403">
              <wp:simplePos x="0" y="0"/>
              <wp:positionH relativeFrom="page">
                <wp:posOffset>5903023</wp:posOffset>
              </wp:positionH>
              <wp:positionV relativeFrom="page">
                <wp:posOffset>532659</wp:posOffset>
              </wp:positionV>
              <wp:extent cx="760730" cy="165100"/>
              <wp:effectExtent l="0" t="0" r="0" b="0"/>
              <wp:wrapNone/>
              <wp:docPr id="2" name="Rectangle 2"/>
              <wp:cNvGraphicFramePr/>
              <a:graphic xmlns:a="http://schemas.openxmlformats.org/drawingml/2006/main">
                <a:graphicData uri="http://schemas.microsoft.com/office/word/2010/wordprocessingShape">
                  <wps:wsp>
                    <wps:cNvSpPr/>
                    <wps:spPr>
                      <a:xfrm>
                        <a:off x="4970398" y="3702213"/>
                        <a:ext cx="751205" cy="155575"/>
                      </a:xfrm>
                      <a:prstGeom prst="rect">
                        <a:avLst/>
                      </a:prstGeom>
                      <a:noFill/>
                      <a:ln>
                        <a:noFill/>
                      </a:ln>
                    </wps:spPr>
                    <wps:txbx>
                      <w:txbxContent>
                        <w:p w14:paraId="08EF534A" w14:textId="77777777" w:rsidR="00A92B53" w:rsidRDefault="00000000">
                          <w:pPr>
                            <w:spacing w:before="12"/>
                            <w:ind w:left="20" w:firstLine="20"/>
                            <w:textDirection w:val="btLr"/>
                          </w:pPr>
                          <w:r>
                            <w:rPr>
                              <w:rFonts w:ascii="Georgia" w:eastAsia="Georgia" w:hAnsi="Georgia" w:cs="Georgia"/>
                              <w:color w:val="000009"/>
                              <w:sz w:val="18"/>
                            </w:rPr>
                            <w:t>Original Article</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5903023</wp:posOffset>
              </wp:positionH>
              <wp:positionV relativeFrom="page">
                <wp:posOffset>532659</wp:posOffset>
              </wp:positionV>
              <wp:extent cx="760730" cy="165100"/>
              <wp:effectExtent b="0" l="0" r="0" t="0"/>
              <wp:wrapNone/>
              <wp:docPr id="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760730" cy="1651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7915FA"/>
    <w:multiLevelType w:val="multilevel"/>
    <w:tmpl w:val="883A927C"/>
    <w:lvl w:ilvl="0">
      <w:start w:val="1"/>
      <w:numFmt w:val="decimal"/>
      <w:lvlText w:val="%1."/>
      <w:lvlJc w:val="left"/>
      <w:pPr>
        <w:ind w:left="740" w:hanging="293"/>
      </w:pPr>
    </w:lvl>
    <w:lvl w:ilvl="1">
      <w:start w:val="1"/>
      <w:numFmt w:val="decimal"/>
      <w:lvlText w:val="%1.%2."/>
      <w:lvlJc w:val="left"/>
      <w:pPr>
        <w:ind w:left="448" w:hanging="406"/>
      </w:pPr>
      <w:rPr>
        <w:rFonts w:ascii="Cambria" w:eastAsia="Cambria" w:hAnsi="Cambria" w:cs="Cambria"/>
        <w:b/>
        <w:bCs/>
        <w:i w:val="0"/>
        <w:iCs w:val="0"/>
        <w:sz w:val="20"/>
        <w:szCs w:val="20"/>
      </w:rPr>
    </w:lvl>
    <w:lvl w:ilvl="2">
      <w:start w:val="1"/>
      <w:numFmt w:val="decimal"/>
      <w:lvlText w:val="%1.%2.%3."/>
      <w:lvlJc w:val="left"/>
      <w:pPr>
        <w:ind w:left="448" w:hanging="591"/>
      </w:pPr>
      <w:rPr>
        <w:rFonts w:ascii="Cambria" w:eastAsia="Cambria" w:hAnsi="Cambria" w:cs="Cambria"/>
        <w:b/>
        <w:bCs/>
        <w:i w:val="0"/>
        <w:iCs w:val="0"/>
        <w:sz w:val="20"/>
        <w:szCs w:val="20"/>
      </w:rPr>
    </w:lvl>
    <w:lvl w:ilvl="3">
      <w:numFmt w:val="bullet"/>
      <w:lvlText w:val="•"/>
      <w:lvlJc w:val="left"/>
      <w:pPr>
        <w:ind w:left="502" w:hanging="591"/>
      </w:pPr>
    </w:lvl>
    <w:lvl w:ilvl="4">
      <w:numFmt w:val="bullet"/>
      <w:lvlText w:val="•"/>
      <w:lvlJc w:val="left"/>
      <w:pPr>
        <w:ind w:left="384" w:hanging="591"/>
      </w:pPr>
    </w:lvl>
    <w:lvl w:ilvl="5">
      <w:numFmt w:val="bullet"/>
      <w:lvlText w:val="•"/>
      <w:lvlJc w:val="left"/>
      <w:pPr>
        <w:ind w:left="265" w:hanging="591"/>
      </w:pPr>
    </w:lvl>
    <w:lvl w:ilvl="6">
      <w:numFmt w:val="bullet"/>
      <w:lvlText w:val="•"/>
      <w:lvlJc w:val="left"/>
      <w:pPr>
        <w:ind w:left="147" w:hanging="591"/>
      </w:pPr>
    </w:lvl>
    <w:lvl w:ilvl="7">
      <w:numFmt w:val="bullet"/>
      <w:lvlText w:val="•"/>
      <w:lvlJc w:val="left"/>
      <w:pPr>
        <w:ind w:left="28" w:hanging="591"/>
      </w:pPr>
    </w:lvl>
    <w:lvl w:ilvl="8">
      <w:numFmt w:val="bullet"/>
      <w:lvlText w:val="•"/>
      <w:lvlJc w:val="left"/>
      <w:pPr>
        <w:ind w:left="-90" w:hanging="591"/>
      </w:pPr>
    </w:lvl>
  </w:abstractNum>
  <w:num w:numId="1" w16cid:durableId="2126920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B53"/>
    <w:rsid w:val="0020763A"/>
    <w:rsid w:val="00651D8F"/>
    <w:rsid w:val="00696B33"/>
    <w:rsid w:val="007F11AC"/>
    <w:rsid w:val="0095479C"/>
    <w:rsid w:val="00A50E1E"/>
    <w:rsid w:val="00A92B53"/>
    <w:rsid w:val="00C31458"/>
    <w:rsid w:val="00DA07B4"/>
    <w:rsid w:val="00EB3113"/>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DB945"/>
  <w15:docId w15:val="{0A9AD94F-D198-4123-8689-366AB79B1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US" w:bidi="ta-IN"/>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740" w:hanging="292"/>
      <w:outlineLvl w:val="0"/>
    </w:pPr>
    <w:rPr>
      <w:b/>
      <w:bCs/>
      <w:sz w:val="28"/>
      <w:szCs w:val="28"/>
    </w:rPr>
  </w:style>
  <w:style w:type="paragraph" w:styleId="Heading2">
    <w:name w:val="heading 2"/>
    <w:basedOn w:val="Normal"/>
    <w:next w:val="Normal"/>
    <w:uiPriority w:val="9"/>
    <w:unhideWhenUsed/>
    <w:qFormat/>
    <w:pPr>
      <w:ind w:left="448"/>
      <w:jc w:val="both"/>
      <w:outlineLvl w:val="1"/>
    </w:pPr>
    <w:rPr>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1"/>
      <w:ind w:left="448" w:right="1011"/>
      <w:jc w:val="both"/>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widowControl/>
    </w:pPr>
    <w:rPr>
      <w:rFonts w:ascii="New York" w:eastAsia="New York" w:hAnsi="New York" w:cs="New York"/>
      <w:sz w:val="20"/>
      <w:szCs w:val="20"/>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shojothi.cse@saamit.edu.in"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image" Target="media/image8.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1891</Words>
  <Characters>10780</Characters>
  <Application>Microsoft Office Word</Application>
  <DocSecurity>0</DocSecurity>
  <Lines>89</Lines>
  <Paragraphs>25</Paragraphs>
  <ScaleCrop>false</ScaleCrop>
  <Company/>
  <LinksUpToDate>false</LinksUpToDate>
  <CharactersWithSpaces>12646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vanitha me</cp:lastModifiedBy>
  <cp:revision>6</cp:revision>
  <dcterms:created xsi:type="dcterms:W3CDTF">2026-02-15T13:12:00Z</dcterms:created>
  <dcterms:modified xsi:type="dcterms:W3CDTF">2026-02-15T14:11:00Z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2020-11-17T00:00:00Z</vt:lpwstr>
  </property>
  <property fmtid="{D5CDD505-2E9C-101B-9397-08002B2CF9AE}" pid="3" name="Creator">
    <vt:lpwstr>Microsoft® Word 2010</vt:lpwstr>
  </property>
  <property fmtid="{D5CDD505-2E9C-101B-9397-08002B2CF9AE}" pid="4" name="LastSaved">
    <vt:lpwstr>2026-01-26T00:00:00Z</vt:lpwstr>
  </property>
  <property fmtid="{D5CDD505-2E9C-101B-9397-08002B2CF9AE}" pid="5" name="Producer">
    <vt:lpwstr>Microsoft® Word 2010</vt:lpwstr>
  </property>
</Properties>
</file>